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89700" w14:textId="77777777" w:rsidR="00257FE7" w:rsidRPr="00575F2C" w:rsidRDefault="00257FE7" w:rsidP="00257FE7">
      <w:pPr>
        <w:jc w:val="center"/>
        <w:rPr>
          <w:b/>
          <w:bCs/>
        </w:rPr>
      </w:pPr>
      <w:r w:rsidRPr="00575F2C">
        <w:rPr>
          <w:b/>
          <w:bCs/>
        </w:rPr>
        <w:t>SECTION 06 05 00</w:t>
      </w:r>
    </w:p>
    <w:p w14:paraId="6A75CD0A" w14:textId="29F761E4" w:rsidR="00257FE7" w:rsidRPr="00575F2C" w:rsidRDefault="00257FE7" w:rsidP="00257FE7">
      <w:pPr>
        <w:jc w:val="center"/>
        <w:rPr>
          <w:b/>
          <w:bCs/>
        </w:rPr>
      </w:pPr>
    </w:p>
    <w:p w14:paraId="4447E428" w14:textId="77777777" w:rsidR="00257FE7" w:rsidRPr="00575F2C" w:rsidRDefault="00257FE7" w:rsidP="00257FE7">
      <w:pPr>
        <w:jc w:val="center"/>
        <w:rPr>
          <w:b/>
          <w:bCs/>
        </w:rPr>
      </w:pPr>
      <w:r w:rsidRPr="00575F2C">
        <w:rPr>
          <w:b/>
          <w:bCs/>
        </w:rPr>
        <w:t>FIRE RETARDANTPENETRANTS</w:t>
      </w:r>
    </w:p>
    <w:p w14:paraId="15089F1C" w14:textId="77777777" w:rsidR="00257FE7" w:rsidRDefault="00257FE7" w:rsidP="00257FE7"/>
    <w:p w14:paraId="06CCC114" w14:textId="12733B00" w:rsidR="00257FE7" w:rsidRDefault="00257FE7" w:rsidP="00257FE7"/>
    <w:p w14:paraId="7817CFD0" w14:textId="68E88ADD" w:rsidR="00257FE7" w:rsidRDefault="00257FE7" w:rsidP="00257FE7">
      <w:r>
        <w:t>** NOTE TO SPECIFIER **</w:t>
      </w:r>
    </w:p>
    <w:p w14:paraId="448C5D91" w14:textId="77777777" w:rsidR="00257FE7" w:rsidRDefault="00257FE7" w:rsidP="00257FE7"/>
    <w:p w14:paraId="57EE5905" w14:textId="77777777" w:rsidR="00257FE7" w:rsidRDefault="00257FE7" w:rsidP="003D391B">
      <w:r>
        <w:t>This section is based on products manufactured by:</w:t>
      </w:r>
    </w:p>
    <w:p w14:paraId="6DD9EA62" w14:textId="77777777" w:rsidR="00257FE7" w:rsidRDefault="00257FE7" w:rsidP="003D391B">
      <w:r>
        <w:t>Flame Seal Products, Inc.</w:t>
      </w:r>
    </w:p>
    <w:p w14:paraId="5C019C13" w14:textId="3C2439E5" w:rsidR="00257FE7" w:rsidRDefault="00257FE7" w:rsidP="003D391B">
      <w:r>
        <w:t>15200 West Drive Houston, Texas 77584</w:t>
      </w:r>
    </w:p>
    <w:p w14:paraId="44CD6316" w14:textId="77777777" w:rsidR="00257FE7" w:rsidRDefault="00257FE7" w:rsidP="003D391B">
      <w:r>
        <w:t>Tel: (713) 668 4291</w:t>
      </w:r>
    </w:p>
    <w:p w14:paraId="165F2932" w14:textId="1DEB5A0B" w:rsidR="00257FE7" w:rsidRDefault="00257FE7" w:rsidP="003D391B">
      <w:r>
        <w:t>Fax:</w:t>
      </w:r>
      <w:r w:rsidR="00575F2C">
        <w:t xml:space="preserve"> </w:t>
      </w:r>
      <w:r>
        <w:t>(713) 668 1724</w:t>
      </w:r>
    </w:p>
    <w:p w14:paraId="5BBC33B6" w14:textId="77777777" w:rsidR="00257FE7" w:rsidRDefault="00257FE7" w:rsidP="003D391B">
      <w:r>
        <w:t>Email: dylan@flameseal.com</w:t>
      </w:r>
    </w:p>
    <w:p w14:paraId="5E18B112" w14:textId="77777777" w:rsidR="00257FE7" w:rsidRDefault="00257FE7" w:rsidP="003D391B">
      <w:r>
        <w:t>Web: www.flameseal.com</w:t>
      </w:r>
    </w:p>
    <w:p w14:paraId="744DE537" w14:textId="12E7E78D" w:rsidR="00257FE7" w:rsidRPr="00575F2C" w:rsidRDefault="00257FE7" w:rsidP="003D391B">
      <w:pPr>
        <w:rPr>
          <w:b/>
          <w:bCs/>
        </w:rPr>
      </w:pPr>
    </w:p>
    <w:p w14:paraId="6B5F5B79" w14:textId="4DF6E181" w:rsidR="00257FE7" w:rsidRPr="00575F2C" w:rsidRDefault="00257FE7" w:rsidP="00105430">
      <w:pPr>
        <w:rPr>
          <w:b/>
          <w:bCs/>
        </w:rPr>
      </w:pPr>
      <w:r w:rsidRPr="00575F2C">
        <w:rPr>
          <w:b/>
          <w:bCs/>
        </w:rPr>
        <w:t>PART 1</w:t>
      </w:r>
      <w:r w:rsidRPr="00575F2C">
        <w:rPr>
          <w:b/>
          <w:bCs/>
        </w:rPr>
        <w:tab/>
        <w:t>GENERAL</w:t>
      </w:r>
    </w:p>
    <w:p w14:paraId="444531C2" w14:textId="74748331" w:rsidR="00257FE7" w:rsidRDefault="00257FE7" w:rsidP="00105430"/>
    <w:p w14:paraId="2D92C29C" w14:textId="3BA4E0AD" w:rsidR="00257FE7" w:rsidRPr="00575F2C" w:rsidRDefault="00257FE7" w:rsidP="00105430">
      <w:pPr>
        <w:pStyle w:val="ListParagraph"/>
        <w:numPr>
          <w:ilvl w:val="1"/>
          <w:numId w:val="31"/>
        </w:numPr>
        <w:rPr>
          <w:b/>
          <w:bCs/>
        </w:rPr>
      </w:pPr>
      <w:r w:rsidRPr="00575F2C">
        <w:rPr>
          <w:b/>
          <w:bCs/>
        </w:rPr>
        <w:t>SECTION INCLUDES</w:t>
      </w:r>
    </w:p>
    <w:p w14:paraId="72409A0F" w14:textId="310A6FD6" w:rsidR="00257FE7" w:rsidRDefault="00257FE7" w:rsidP="00105430"/>
    <w:p w14:paraId="7E386273" w14:textId="584A09F6" w:rsidR="00257FE7" w:rsidRDefault="00105430" w:rsidP="00105430">
      <w:pPr>
        <w:pStyle w:val="ListParagraph"/>
        <w:numPr>
          <w:ilvl w:val="0"/>
          <w:numId w:val="33"/>
        </w:numPr>
      </w:pPr>
      <w:r w:rsidRPr="00D93C5E">
        <w:t xml:space="preserve">Wood Seal A™ </w:t>
      </w:r>
      <w:r w:rsidR="00257FE7">
        <w:t>– Fire Retardant Clear Penetrant Finish</w:t>
      </w:r>
    </w:p>
    <w:p w14:paraId="78A32219" w14:textId="36EEA871" w:rsidR="00257FE7" w:rsidRDefault="00257FE7" w:rsidP="00105430"/>
    <w:p w14:paraId="7CC0D47C" w14:textId="77777777" w:rsidR="00257FE7" w:rsidRDefault="00257FE7" w:rsidP="00105430"/>
    <w:p w14:paraId="5425D348" w14:textId="44A90B54" w:rsidR="00257FE7" w:rsidRPr="00575F2C" w:rsidRDefault="00257FE7" w:rsidP="00105430">
      <w:pPr>
        <w:rPr>
          <w:b/>
          <w:bCs/>
        </w:rPr>
      </w:pPr>
      <w:r w:rsidRPr="00575F2C">
        <w:rPr>
          <w:b/>
          <w:bCs/>
        </w:rPr>
        <w:t>1.2</w:t>
      </w:r>
      <w:r w:rsidRPr="00575F2C">
        <w:rPr>
          <w:b/>
          <w:bCs/>
        </w:rPr>
        <w:tab/>
        <w:t>RELATED SECTIONS</w:t>
      </w:r>
    </w:p>
    <w:p w14:paraId="4A275496" w14:textId="24247A39" w:rsidR="00257FE7" w:rsidRDefault="00257FE7" w:rsidP="00105430">
      <w:r>
        <w:t>** NOTE TO SPECIFIER ** Delete any sections below not relevant to this project; add others as required.</w:t>
      </w:r>
    </w:p>
    <w:p w14:paraId="61E4D9C1" w14:textId="267194FB" w:rsidR="00257FE7" w:rsidRDefault="00257FE7" w:rsidP="00105430"/>
    <w:p w14:paraId="2382A418" w14:textId="6C1CEDC7" w:rsidR="00257FE7" w:rsidRDefault="00257FE7" w:rsidP="00105430">
      <w:r>
        <w:t>A.</w:t>
      </w:r>
      <w:r>
        <w:tab/>
        <w:t>Section 06 05 00 - Common Work Results for Wood, Plastics, and Composites.</w:t>
      </w:r>
    </w:p>
    <w:p w14:paraId="65DE0488" w14:textId="2CDAD192" w:rsidR="00257FE7" w:rsidRDefault="00257FE7" w:rsidP="00105430"/>
    <w:p w14:paraId="1160D11E" w14:textId="512CF84A" w:rsidR="00257FE7" w:rsidRDefault="00257FE7" w:rsidP="00105430">
      <w:r>
        <w:t>B.</w:t>
      </w:r>
      <w:r>
        <w:tab/>
        <w:t>Section 06 10 00 - Rough Carpentry.</w:t>
      </w:r>
    </w:p>
    <w:p w14:paraId="4A431B1A" w14:textId="453E10D0" w:rsidR="00257FE7" w:rsidRDefault="00257FE7" w:rsidP="00105430"/>
    <w:p w14:paraId="0B739EEC" w14:textId="24B5A752" w:rsidR="00257FE7" w:rsidRDefault="00257FE7" w:rsidP="00105430">
      <w:r>
        <w:t>C.</w:t>
      </w:r>
      <w:r>
        <w:tab/>
        <w:t>Section 06 20 00 - Finish Carpentry.</w:t>
      </w:r>
    </w:p>
    <w:p w14:paraId="6DA47B7B" w14:textId="67E0C52F" w:rsidR="00257FE7" w:rsidRDefault="00257FE7" w:rsidP="00105430"/>
    <w:p w14:paraId="29288DE1" w14:textId="34F99875" w:rsidR="00257FE7" w:rsidRDefault="00257FE7" w:rsidP="00105430">
      <w:r>
        <w:t>D.</w:t>
      </w:r>
      <w:r>
        <w:tab/>
        <w:t>Section 06 40 00 - Architectural Woodwork.</w:t>
      </w:r>
    </w:p>
    <w:p w14:paraId="7803D7E1" w14:textId="77777777" w:rsidR="00257FE7" w:rsidRDefault="00257FE7" w:rsidP="00105430">
      <w:pPr>
        <w:ind w:left="1440"/>
      </w:pPr>
    </w:p>
    <w:p w14:paraId="069F5964" w14:textId="340D73DF" w:rsidR="00257FE7" w:rsidRDefault="00257FE7" w:rsidP="00575F2C">
      <w:r>
        <w:t xml:space="preserve">E. </w:t>
      </w:r>
      <w:r>
        <w:tab/>
        <w:t xml:space="preserve">Section 09 96 00 Intumescent Painting </w:t>
      </w:r>
    </w:p>
    <w:p w14:paraId="4C630C49" w14:textId="25250972" w:rsidR="00257FE7" w:rsidRDefault="00257FE7" w:rsidP="00257FE7">
      <w:r>
        <w:t xml:space="preserve"> </w:t>
      </w:r>
      <w:r>
        <w:tab/>
      </w:r>
    </w:p>
    <w:p w14:paraId="292A5A54" w14:textId="66793D9B" w:rsidR="00257FE7" w:rsidRPr="006025F1" w:rsidRDefault="00257FE7" w:rsidP="006025F1">
      <w:pPr>
        <w:rPr>
          <w:b/>
          <w:bCs/>
        </w:rPr>
      </w:pPr>
      <w:r w:rsidRPr="006025F1">
        <w:rPr>
          <w:b/>
          <w:bCs/>
        </w:rPr>
        <w:t>1.3</w:t>
      </w:r>
      <w:r w:rsidRPr="006025F1">
        <w:rPr>
          <w:b/>
          <w:bCs/>
        </w:rPr>
        <w:tab/>
        <w:t>REFERENCES</w:t>
      </w:r>
    </w:p>
    <w:p w14:paraId="58D7FF49" w14:textId="77777777" w:rsidR="00257FE7" w:rsidRDefault="00257FE7" w:rsidP="00257FE7">
      <w:r>
        <w:t xml:space="preserve">         </w:t>
      </w:r>
      <w:r>
        <w:tab/>
        <w:t>** NOTE TO SPECIFIER ** Delete any references below not relevant to this project; add others as required.</w:t>
      </w:r>
    </w:p>
    <w:p w14:paraId="71698B41" w14:textId="77777777" w:rsidR="00257FE7" w:rsidRDefault="00257FE7" w:rsidP="00257FE7">
      <w:r>
        <w:t xml:space="preserve"> </w:t>
      </w:r>
      <w:r>
        <w:tab/>
      </w:r>
    </w:p>
    <w:p w14:paraId="7910207D" w14:textId="39E5AC41" w:rsidR="00257FE7" w:rsidRDefault="00257FE7" w:rsidP="00257FE7">
      <w:r>
        <w:t>A.</w:t>
      </w:r>
      <w:r>
        <w:tab/>
        <w:t>International Code Council (ICC):</w:t>
      </w:r>
    </w:p>
    <w:p w14:paraId="7ABB608E" w14:textId="7B112113" w:rsidR="00257FE7" w:rsidRDefault="00257FE7" w:rsidP="00257FE7">
      <w:pPr>
        <w:ind w:left="720"/>
      </w:pPr>
      <w:r>
        <w:t>1.</w:t>
      </w:r>
      <w:r w:rsidR="006025F1">
        <w:t xml:space="preserve"> </w:t>
      </w:r>
      <w:r>
        <w:t>2018, 2015, 2012, International Building Code (IBC) 803.1.</w:t>
      </w:r>
    </w:p>
    <w:p w14:paraId="01741F40" w14:textId="48F88963" w:rsidR="00257FE7" w:rsidRDefault="00257FE7" w:rsidP="00257FE7">
      <w:pPr>
        <w:ind w:left="2070" w:hanging="1350"/>
      </w:pPr>
      <w:r>
        <w:t>2. 2018, 2015, 2012, International Residential Code (IRC) R302.9 &amp; R315.1.</w:t>
      </w:r>
    </w:p>
    <w:p w14:paraId="5EDF90DF" w14:textId="0DB40181" w:rsidR="00257FE7" w:rsidRDefault="00257FE7" w:rsidP="00257FE7">
      <w:pPr>
        <w:ind w:left="720"/>
      </w:pPr>
      <w:r>
        <w:t>3.</w:t>
      </w:r>
      <w:r w:rsidR="006025F1">
        <w:t xml:space="preserve"> </w:t>
      </w:r>
      <w:r>
        <w:t>2018, 2015, 2012, International Fire Code (IFC) 803.1.1.</w:t>
      </w:r>
    </w:p>
    <w:p w14:paraId="41C5A4D0" w14:textId="4648F362" w:rsidR="00257FE7" w:rsidRDefault="00257FE7" w:rsidP="00257FE7">
      <w:pPr>
        <w:ind w:left="720"/>
      </w:pPr>
      <w:r>
        <w:t>4</w:t>
      </w:r>
      <w:r w:rsidR="006025F1">
        <w:t xml:space="preserve">. </w:t>
      </w:r>
      <w:r>
        <w:t>2018, 2015, 2012, International Existing Building Code (IEBC) 1205.09.</w:t>
      </w:r>
    </w:p>
    <w:p w14:paraId="09957853" w14:textId="680958D0" w:rsidR="00257FE7" w:rsidRDefault="00257FE7" w:rsidP="00257FE7"/>
    <w:p w14:paraId="4635AB72" w14:textId="176CCD12" w:rsidR="00257FE7" w:rsidRDefault="00257FE7" w:rsidP="00257FE7"/>
    <w:p w14:paraId="13FEFD19" w14:textId="680A5A86" w:rsidR="00257FE7" w:rsidRDefault="00257FE7" w:rsidP="00257FE7">
      <w:r>
        <w:t>B.</w:t>
      </w:r>
      <w:r>
        <w:tab/>
        <w:t>ASTM International (ASTM):</w:t>
      </w:r>
    </w:p>
    <w:p w14:paraId="60D9275A" w14:textId="1A0763F5" w:rsidR="00257FE7" w:rsidRDefault="00257FE7" w:rsidP="00257FE7">
      <w:pPr>
        <w:ind w:left="720"/>
      </w:pPr>
      <w:r>
        <w:t>1.  ASTM E84 - Standard Test Method for Surface Burning Characteristics of Building Materials.</w:t>
      </w:r>
    </w:p>
    <w:p w14:paraId="28927766" w14:textId="15FB4788" w:rsidR="006025F1" w:rsidRDefault="006025F1" w:rsidP="00257FE7">
      <w:pPr>
        <w:ind w:left="720"/>
      </w:pPr>
    </w:p>
    <w:p w14:paraId="63F3E277" w14:textId="77777777" w:rsidR="006025F1" w:rsidRDefault="006025F1" w:rsidP="00257FE7">
      <w:pPr>
        <w:ind w:left="720"/>
      </w:pPr>
    </w:p>
    <w:p w14:paraId="08063597" w14:textId="048A92E2" w:rsidR="00257FE7" w:rsidRDefault="006025F1" w:rsidP="006025F1">
      <w:r>
        <w:t xml:space="preserve">C. </w:t>
      </w:r>
      <w:r>
        <w:tab/>
      </w:r>
      <w:r w:rsidR="00257FE7">
        <w:t>Intertek:</w:t>
      </w:r>
    </w:p>
    <w:p w14:paraId="238442C0" w14:textId="08C19226" w:rsidR="00257FE7" w:rsidRDefault="00257FE7" w:rsidP="006025F1">
      <w:pPr>
        <w:ind w:left="720"/>
      </w:pPr>
      <w:r>
        <w:t xml:space="preserve"> 1</w:t>
      </w:r>
      <w:r w:rsidR="006025F1">
        <w:t>.</w:t>
      </w:r>
      <w:r>
        <w:t xml:space="preserve"> Intertek Report</w:t>
      </w:r>
      <w:r w:rsidR="006025F1">
        <w:t xml:space="preserve"> No. 3127494SAT-001</w:t>
      </w:r>
      <w:r>
        <w:tab/>
      </w:r>
    </w:p>
    <w:p w14:paraId="5DB5A867" w14:textId="77777777" w:rsidR="006025F1" w:rsidRDefault="00257FE7" w:rsidP="006025F1">
      <w:r>
        <w:t xml:space="preserve"> </w:t>
      </w:r>
      <w:r>
        <w:tab/>
      </w:r>
    </w:p>
    <w:p w14:paraId="68B97234" w14:textId="533197C1" w:rsidR="00257FE7" w:rsidRDefault="006025F1" w:rsidP="006025F1">
      <w:r>
        <w:t xml:space="preserve">D. </w:t>
      </w:r>
      <w:r>
        <w:tab/>
      </w:r>
      <w:r w:rsidR="00257FE7">
        <w:t>National Fire Protection Association (NFPA):</w:t>
      </w:r>
      <w:r w:rsidR="00257FE7">
        <w:tab/>
      </w:r>
    </w:p>
    <w:p w14:paraId="2D5F1F84" w14:textId="2FD0A32B" w:rsidR="00257FE7" w:rsidRDefault="00257FE7" w:rsidP="006025F1">
      <w:pPr>
        <w:ind w:left="720"/>
      </w:pPr>
      <w:r>
        <w:t>1</w:t>
      </w:r>
      <w:r w:rsidR="006025F1">
        <w:t xml:space="preserve">. </w:t>
      </w:r>
      <w:r>
        <w:t>NFPA 255 - Standard Method of Test of Surface Burning Characteristics of Building Materials.</w:t>
      </w:r>
      <w:r>
        <w:tab/>
      </w:r>
    </w:p>
    <w:p w14:paraId="4578D435" w14:textId="5573FE67" w:rsidR="00257FE7" w:rsidRDefault="00C6585A" w:rsidP="006025F1">
      <w:pPr>
        <w:ind w:left="720"/>
      </w:pPr>
      <w:r>
        <w:t>2</w:t>
      </w:r>
      <w:r w:rsidR="00257FE7">
        <w:t>.</w:t>
      </w:r>
      <w:r w:rsidR="006025F1">
        <w:t xml:space="preserve"> </w:t>
      </w:r>
      <w:r w:rsidR="00257FE7">
        <w:t xml:space="preserve">NFPA 703 - Standard for Fire Retardant Impregnated Wood and </w:t>
      </w:r>
      <w:r w:rsidR="008A5C0E">
        <w:t>Fire-Retardant</w:t>
      </w:r>
      <w:r w:rsidR="00257FE7">
        <w:t xml:space="preserve"> Coatings for </w:t>
      </w:r>
      <w:r w:rsidR="006025F1">
        <w:t xml:space="preserve">         </w:t>
      </w:r>
      <w:r w:rsidR="00257FE7">
        <w:t>Building Materials.</w:t>
      </w:r>
      <w:r w:rsidR="00257FE7">
        <w:tab/>
      </w:r>
    </w:p>
    <w:p w14:paraId="4771CAAC" w14:textId="77777777" w:rsidR="00257FE7" w:rsidRDefault="00257FE7" w:rsidP="00257FE7">
      <w:r>
        <w:t xml:space="preserve"> </w:t>
      </w:r>
      <w:r>
        <w:tab/>
      </w:r>
    </w:p>
    <w:p w14:paraId="73790505" w14:textId="4F292BCC" w:rsidR="00257FE7" w:rsidRDefault="006025F1" w:rsidP="006025F1">
      <w:pPr>
        <w:jc w:val="both"/>
      </w:pPr>
      <w:r>
        <w:t>E</w:t>
      </w:r>
      <w:r w:rsidR="00257FE7">
        <w:t>.</w:t>
      </w:r>
      <w:r w:rsidR="00257FE7">
        <w:tab/>
        <w:t>Underwriters Laboratory (UL):</w:t>
      </w:r>
      <w:r w:rsidR="00257FE7">
        <w:tab/>
      </w:r>
    </w:p>
    <w:p w14:paraId="66852643" w14:textId="0D7AA2E3" w:rsidR="00257FE7" w:rsidRDefault="006025F1" w:rsidP="006025F1">
      <w:pPr>
        <w:ind w:left="720"/>
      </w:pPr>
      <w:r>
        <w:t xml:space="preserve">1. </w:t>
      </w:r>
      <w:r w:rsidR="00257FE7">
        <w:t>UL 723 - Standard Test for Surface Burning Characteristics of Building Materials.</w:t>
      </w:r>
    </w:p>
    <w:p w14:paraId="40ABC364" w14:textId="77777777" w:rsidR="006025F1" w:rsidRDefault="00257FE7" w:rsidP="00257FE7">
      <w:r>
        <w:t xml:space="preserve"> </w:t>
      </w:r>
      <w:r>
        <w:tab/>
      </w:r>
    </w:p>
    <w:p w14:paraId="335DAD00" w14:textId="77777777" w:rsidR="006025F1" w:rsidRDefault="00257FE7" w:rsidP="00257FE7">
      <w:r>
        <w:tab/>
      </w:r>
    </w:p>
    <w:p w14:paraId="724711C9" w14:textId="76158A0B" w:rsidR="00257FE7" w:rsidRPr="006025F1" w:rsidRDefault="00257FE7" w:rsidP="006025F1">
      <w:pPr>
        <w:rPr>
          <w:b/>
          <w:bCs/>
        </w:rPr>
      </w:pPr>
      <w:r w:rsidRPr="006025F1">
        <w:rPr>
          <w:b/>
          <w:bCs/>
        </w:rPr>
        <w:t>1.4</w:t>
      </w:r>
      <w:r w:rsidRPr="006025F1">
        <w:rPr>
          <w:b/>
          <w:bCs/>
        </w:rPr>
        <w:tab/>
        <w:t>SUBMITTALS</w:t>
      </w:r>
      <w:r w:rsidRPr="006025F1">
        <w:rPr>
          <w:b/>
          <w:bCs/>
        </w:rPr>
        <w:tab/>
      </w:r>
    </w:p>
    <w:p w14:paraId="2B82524B" w14:textId="77777777" w:rsidR="00257FE7" w:rsidRDefault="00257FE7" w:rsidP="00257FE7">
      <w:r>
        <w:t xml:space="preserve"> </w:t>
      </w:r>
      <w:r>
        <w:tab/>
      </w:r>
    </w:p>
    <w:p w14:paraId="419BCDE7" w14:textId="4D3FE263" w:rsidR="00257FE7" w:rsidRDefault="00257FE7" w:rsidP="006025F1">
      <w:r>
        <w:t>A.</w:t>
      </w:r>
      <w:r>
        <w:tab/>
        <w:t>Submit in accordance with Division 01 Section "Submittal Procedures".</w:t>
      </w:r>
    </w:p>
    <w:p w14:paraId="1136FBC6" w14:textId="77777777" w:rsidR="00257FE7" w:rsidRDefault="00257FE7" w:rsidP="00257FE7">
      <w:r>
        <w:t xml:space="preserve"> </w:t>
      </w:r>
      <w:r>
        <w:tab/>
      </w:r>
    </w:p>
    <w:p w14:paraId="0565A124" w14:textId="02B78D2A" w:rsidR="00257FE7" w:rsidRDefault="00257FE7" w:rsidP="006025F1">
      <w:r>
        <w:t>B.</w:t>
      </w:r>
      <w:r>
        <w:tab/>
        <w:t>Product Data:</w:t>
      </w:r>
    </w:p>
    <w:p w14:paraId="26E39D20" w14:textId="44AFF6D6" w:rsidR="00257FE7" w:rsidRDefault="00257FE7" w:rsidP="006025F1">
      <w:pPr>
        <w:ind w:left="720"/>
      </w:pPr>
      <w:r>
        <w:t>1.</w:t>
      </w:r>
      <w:r w:rsidR="006025F1">
        <w:t xml:space="preserve"> </w:t>
      </w:r>
      <w:r>
        <w:t>Submit manufacturer's technical information indicating product performance characteristics, sustainable design information, limitations, application instructions, and warranty requirements.</w:t>
      </w:r>
    </w:p>
    <w:p w14:paraId="050F8D33" w14:textId="03D24530" w:rsidR="00257FE7" w:rsidRDefault="00257FE7" w:rsidP="006025F1">
      <w:pPr>
        <w:ind w:left="720"/>
      </w:pPr>
      <w:r>
        <w:t>2.</w:t>
      </w:r>
      <w:r w:rsidR="006025F1">
        <w:t xml:space="preserve"> </w:t>
      </w:r>
      <w:r>
        <w:t>Submit Material Safety Data Sheets (MSDS) including Volatile Organic Compounds (VOC).</w:t>
      </w:r>
    </w:p>
    <w:p w14:paraId="40A89653" w14:textId="1B1B49FD" w:rsidR="00257FE7" w:rsidRDefault="00257FE7" w:rsidP="006025F1"/>
    <w:p w14:paraId="1E9BBBDB" w14:textId="67E3D62E" w:rsidR="00257FE7" w:rsidRDefault="00257FE7" w:rsidP="006025F1">
      <w:r>
        <w:t>C.</w:t>
      </w:r>
      <w:r>
        <w:tab/>
        <w:t>Test Reports: Submit published listings and test results for each product to be installed.</w:t>
      </w:r>
    </w:p>
    <w:p w14:paraId="578281E5" w14:textId="2A9C9EDF" w:rsidR="00257FE7" w:rsidRDefault="00257FE7" w:rsidP="006025F1"/>
    <w:p w14:paraId="44BE1704" w14:textId="5CD4CA11" w:rsidR="00257FE7" w:rsidRDefault="00257FE7" w:rsidP="006025F1">
      <w:pPr>
        <w:ind w:left="720" w:hanging="720"/>
      </w:pPr>
      <w:r>
        <w:t>D.</w:t>
      </w:r>
      <w:r>
        <w:tab/>
        <w:t xml:space="preserve">Certificates: Submit manufacturer certificates for each type of fire retardant coating or </w:t>
      </w:r>
      <w:r w:rsidR="00A13AB7">
        <w:t xml:space="preserve">spray,  </w:t>
      </w:r>
      <w:r w:rsidR="006025F1">
        <w:t xml:space="preserve">     </w:t>
      </w:r>
      <w:r>
        <w:t>signed by the manufacturer, certifying that materials and substrate conditions comply with specified performance characteristics and physical properties.</w:t>
      </w:r>
    </w:p>
    <w:p w14:paraId="4B85D2B6" w14:textId="77777777" w:rsidR="00257FE7" w:rsidRDefault="00257FE7" w:rsidP="00257FE7">
      <w:r>
        <w:t xml:space="preserve"> </w:t>
      </w:r>
      <w:r>
        <w:tab/>
      </w:r>
    </w:p>
    <w:p w14:paraId="67F17D49" w14:textId="61AE2ED7" w:rsidR="00257FE7" w:rsidRDefault="00257FE7" w:rsidP="00F711FB">
      <w:r>
        <w:t>E.</w:t>
      </w:r>
      <w:r>
        <w:tab/>
        <w:t>Qualifications: Submit manufacturer and installer qualifications.</w:t>
      </w:r>
    </w:p>
    <w:p w14:paraId="36604C50" w14:textId="77777777" w:rsidR="00257FE7" w:rsidRDefault="00257FE7" w:rsidP="00257FE7">
      <w:r>
        <w:t xml:space="preserve"> </w:t>
      </w:r>
      <w:r>
        <w:tab/>
      </w:r>
    </w:p>
    <w:p w14:paraId="275C5708" w14:textId="3D13B242" w:rsidR="00257FE7" w:rsidRDefault="00257FE7" w:rsidP="00F711FB">
      <w:pPr>
        <w:ind w:left="720" w:hanging="720"/>
      </w:pPr>
      <w:r>
        <w:t>F.</w:t>
      </w:r>
      <w:r>
        <w:tab/>
        <w:t>Shop Drawings: If requested, submit drawings to indicate system configurations and application procedures including the following:</w:t>
      </w:r>
    </w:p>
    <w:p w14:paraId="1C8389B4" w14:textId="2DBBC71B" w:rsidR="00257FE7" w:rsidRDefault="00257FE7" w:rsidP="00F711FB">
      <w:pPr>
        <w:ind w:left="720"/>
      </w:pPr>
      <w:r>
        <w:t>1.</w:t>
      </w:r>
      <w:r w:rsidR="00F711FB">
        <w:t xml:space="preserve"> </w:t>
      </w:r>
      <w:r>
        <w:t>Substrates, materials, and adjacent construction.</w:t>
      </w:r>
    </w:p>
    <w:p w14:paraId="7D466FEA" w14:textId="714E73C4" w:rsidR="00257FE7" w:rsidRDefault="00257FE7" w:rsidP="00F711FB">
      <w:pPr>
        <w:ind w:left="720"/>
      </w:pPr>
      <w:r>
        <w:t>2.</w:t>
      </w:r>
      <w:r w:rsidR="00F711FB">
        <w:t xml:space="preserve"> </w:t>
      </w:r>
      <w:r>
        <w:t>Installation extents, thicknesses, typical and special conditions.</w:t>
      </w:r>
    </w:p>
    <w:p w14:paraId="124066B0" w14:textId="6E5740C6" w:rsidR="00257FE7" w:rsidRDefault="00257FE7" w:rsidP="00F711FB">
      <w:pPr>
        <w:ind w:left="720"/>
      </w:pPr>
      <w:r>
        <w:t>3.</w:t>
      </w:r>
      <w:r w:rsidR="00F711FB">
        <w:t xml:space="preserve"> </w:t>
      </w:r>
      <w:r>
        <w:t>Safety requirements.</w:t>
      </w:r>
    </w:p>
    <w:p w14:paraId="4BB01905" w14:textId="2A3491F3" w:rsidR="00257FE7" w:rsidRDefault="00257FE7" w:rsidP="00F711FB"/>
    <w:p w14:paraId="3DBCBFAA" w14:textId="69348DAD" w:rsidR="00257FE7" w:rsidRDefault="00257FE7" w:rsidP="00F711FB">
      <w:pPr>
        <w:ind w:left="720" w:hanging="720"/>
      </w:pPr>
      <w:r>
        <w:t>G.</w:t>
      </w:r>
      <w:r>
        <w:tab/>
        <w:t>Samples: If requested, submit samples of each exposed finish for approval of texture, color, edge treatments, or special conditions. Minimum size 12 x 12 inches (300 x 300 mm) by full thickness on each substrate to be provided.</w:t>
      </w:r>
    </w:p>
    <w:p w14:paraId="0D11B759" w14:textId="202C241B" w:rsidR="00257FE7" w:rsidRDefault="00257FE7" w:rsidP="00F711FB"/>
    <w:p w14:paraId="7BB39BF5" w14:textId="222244ED" w:rsidR="00257FE7" w:rsidRDefault="00257FE7" w:rsidP="00F711FB">
      <w:r>
        <w:t>H.</w:t>
      </w:r>
      <w:r>
        <w:tab/>
        <w:t>Closeout Submittals: Maintenance instructions and warranty.</w:t>
      </w:r>
    </w:p>
    <w:p w14:paraId="347302E9" w14:textId="17BAFC96" w:rsidR="00257FE7" w:rsidRDefault="00257FE7" w:rsidP="00F711FB"/>
    <w:p w14:paraId="3B4376B1" w14:textId="619FEF78" w:rsidR="00257FE7" w:rsidRPr="00F711FB" w:rsidRDefault="00257FE7" w:rsidP="00F711FB">
      <w:pPr>
        <w:rPr>
          <w:b/>
          <w:bCs/>
        </w:rPr>
      </w:pPr>
      <w:r w:rsidRPr="00F711FB">
        <w:rPr>
          <w:b/>
          <w:bCs/>
        </w:rPr>
        <w:t>1.5</w:t>
      </w:r>
      <w:r w:rsidRPr="00F711FB">
        <w:rPr>
          <w:b/>
          <w:bCs/>
        </w:rPr>
        <w:tab/>
        <w:t>QUALITY ASSURANCE</w:t>
      </w:r>
    </w:p>
    <w:p w14:paraId="262D3A2C" w14:textId="4FB2CB80" w:rsidR="00257FE7" w:rsidRDefault="00257FE7" w:rsidP="00F711FB"/>
    <w:p w14:paraId="301D639B" w14:textId="3DFF53DB" w:rsidR="00257FE7" w:rsidRDefault="00257FE7" w:rsidP="00F711FB">
      <w:r>
        <w:t>A.</w:t>
      </w:r>
      <w:r>
        <w:tab/>
        <w:t>Single Source Responsibility: Products shall be manufactured as a complete system from a single manufacturer, applied to substrates and finished in accordance with manufacturer's instructions and limitations.</w:t>
      </w:r>
    </w:p>
    <w:p w14:paraId="7282FEEE" w14:textId="0740DCAB" w:rsidR="00257FE7" w:rsidRDefault="00257FE7" w:rsidP="00F711FB"/>
    <w:p w14:paraId="267AF78F" w14:textId="45F7D16F" w:rsidR="00257FE7" w:rsidRDefault="00257FE7" w:rsidP="00F711FB">
      <w:r>
        <w:t>B.</w:t>
      </w:r>
      <w:r>
        <w:tab/>
        <w:t xml:space="preserve">Confirm each material and </w:t>
      </w:r>
      <w:r w:rsidR="00F711FB">
        <w:t>fire-retardant</w:t>
      </w:r>
      <w:r>
        <w:t xml:space="preserve"> </w:t>
      </w:r>
      <w:r w:rsidR="00F711FB">
        <w:t>requirement</w:t>
      </w:r>
      <w:r>
        <w:t xml:space="preserve"> with current local Fire Safety Codes.</w:t>
      </w:r>
    </w:p>
    <w:p w14:paraId="1469FB78" w14:textId="0133495F" w:rsidR="00257FE7" w:rsidRDefault="00257FE7" w:rsidP="00F711FB"/>
    <w:p w14:paraId="40E0E5A3" w14:textId="705BE0B9" w:rsidR="00257FE7" w:rsidRDefault="00F711FB" w:rsidP="00F711FB">
      <w:r>
        <w:t>C</w:t>
      </w:r>
      <w:r w:rsidR="00257FE7">
        <w:t>.</w:t>
      </w:r>
      <w:r w:rsidR="00257FE7">
        <w:tab/>
        <w:t>Qualifications:</w:t>
      </w:r>
    </w:p>
    <w:p w14:paraId="0ED67D27" w14:textId="3F29D0E6" w:rsidR="00257FE7" w:rsidRDefault="00257FE7" w:rsidP="00F711FB">
      <w:pPr>
        <w:ind w:left="1440" w:hanging="720"/>
      </w:pPr>
      <w:r>
        <w:t>1.</w:t>
      </w:r>
      <w:r w:rsidR="00F711FB">
        <w:t xml:space="preserve"> </w:t>
      </w:r>
      <w:r>
        <w:t>Manufacturer Qualifications: Minimum ten (</w:t>
      </w:r>
      <w:r w:rsidR="005B56DE">
        <w:t>10</w:t>
      </w:r>
      <w:r>
        <w:t>) years' experience producing fire retardant coatings of the size and complexity of this project and with the production facilities capable of meeting the project schedule.</w:t>
      </w:r>
    </w:p>
    <w:p w14:paraId="558BF9F6" w14:textId="0E2B296A" w:rsidR="00257FE7" w:rsidRDefault="00257FE7" w:rsidP="00F711FB">
      <w:pPr>
        <w:ind w:left="720"/>
      </w:pPr>
      <w:r>
        <w:t>2.</w:t>
      </w:r>
      <w:r w:rsidR="00F711FB">
        <w:t xml:space="preserve"> </w:t>
      </w:r>
      <w:r>
        <w:t>Installer Qualifications: Certified by the manufacturer.</w:t>
      </w:r>
    </w:p>
    <w:p w14:paraId="7601466E" w14:textId="3473A26F" w:rsidR="00257FE7" w:rsidRDefault="00257FE7" w:rsidP="00F711FB"/>
    <w:p w14:paraId="29F7D1AA" w14:textId="3D98BD55" w:rsidR="00257FE7" w:rsidRDefault="00257FE7" w:rsidP="00F711FB">
      <w:r>
        <w:t>E.</w:t>
      </w:r>
      <w:r>
        <w:tab/>
        <w:t>Compatibility and Adhesion Testing:</w:t>
      </w:r>
    </w:p>
    <w:p w14:paraId="23332939" w14:textId="47307EA7" w:rsidR="00257FE7" w:rsidRDefault="00257FE7" w:rsidP="00F711FB">
      <w:pPr>
        <w:ind w:left="720"/>
      </w:pPr>
      <w:r>
        <w:t>1.</w:t>
      </w:r>
      <w:r w:rsidR="00F711FB">
        <w:t xml:space="preserve"> </w:t>
      </w:r>
      <w:r>
        <w:t>Where substrates and adjacent materials are not explicitly addressed in manufacturer's installation instructions, test for bond in accordance with UL Fire Resistance Directory for coating materials.</w:t>
      </w:r>
    </w:p>
    <w:p w14:paraId="7CC1279A" w14:textId="4BEDD2E1" w:rsidR="00257FE7" w:rsidRDefault="00257FE7" w:rsidP="00F711FB">
      <w:pPr>
        <w:ind w:left="720"/>
      </w:pPr>
      <w:r>
        <w:t>2.</w:t>
      </w:r>
      <w:r w:rsidR="00F711FB">
        <w:t xml:space="preserve"> </w:t>
      </w:r>
      <w:r>
        <w:t xml:space="preserve">Verify that manufacturer has not found substrate materials, </w:t>
      </w:r>
      <w:r w:rsidR="00F711FB">
        <w:t>primers,</w:t>
      </w:r>
      <w:r>
        <w:t xml:space="preserve"> or adjacent coatings to be incompatible.</w:t>
      </w:r>
    </w:p>
    <w:p w14:paraId="0AE88003" w14:textId="77777777" w:rsidR="00446171" w:rsidRDefault="00257FE7" w:rsidP="00257FE7">
      <w:r>
        <w:t xml:space="preserve"> </w:t>
      </w:r>
      <w:r>
        <w:tab/>
      </w:r>
    </w:p>
    <w:p w14:paraId="75BE4766" w14:textId="5F2433EA" w:rsidR="00257FE7" w:rsidRPr="00446171" w:rsidRDefault="00257FE7" w:rsidP="00257FE7">
      <w:r w:rsidRPr="00F711FB">
        <w:rPr>
          <w:b/>
          <w:bCs/>
        </w:rPr>
        <w:t>1.6</w:t>
      </w:r>
      <w:r w:rsidRPr="00F711FB">
        <w:rPr>
          <w:b/>
          <w:bCs/>
        </w:rPr>
        <w:tab/>
        <w:t>DELIVERY, STORAGE AND HANDLING</w:t>
      </w:r>
      <w:r w:rsidRPr="00F711FB">
        <w:rPr>
          <w:b/>
          <w:bCs/>
        </w:rPr>
        <w:tab/>
      </w:r>
    </w:p>
    <w:p w14:paraId="1FC5FF5B" w14:textId="77777777" w:rsidR="00257FE7" w:rsidRDefault="00257FE7" w:rsidP="00257FE7">
      <w:r>
        <w:t xml:space="preserve"> </w:t>
      </w:r>
      <w:r>
        <w:tab/>
      </w:r>
    </w:p>
    <w:p w14:paraId="09E1FDBC" w14:textId="3085DD71" w:rsidR="00257FE7" w:rsidRDefault="00257FE7" w:rsidP="00F711FB">
      <w:pPr>
        <w:pStyle w:val="ListParagraph"/>
        <w:numPr>
          <w:ilvl w:val="0"/>
          <w:numId w:val="21"/>
        </w:numPr>
      </w:pPr>
      <w:r>
        <w:t>Deliver, store, and handle in accordance with the manufacturer's instructions.</w:t>
      </w:r>
    </w:p>
    <w:p w14:paraId="3DCFC733" w14:textId="4C35B5DC" w:rsidR="00257FE7" w:rsidRDefault="00257FE7" w:rsidP="00F711FB"/>
    <w:p w14:paraId="6719C851" w14:textId="350C4CFB" w:rsidR="00257FE7" w:rsidRDefault="00257FE7" w:rsidP="00F711FB">
      <w:pPr>
        <w:pStyle w:val="ListParagraph"/>
        <w:numPr>
          <w:ilvl w:val="0"/>
          <w:numId w:val="21"/>
        </w:numPr>
      </w:pPr>
      <w:r>
        <w:t>Deliver packaged materials in original unopened containers marked to indicate brand name, manufacturer, certification markings and classifications. Damaged or opened containers will be rejected.</w:t>
      </w:r>
    </w:p>
    <w:p w14:paraId="6326AEA1" w14:textId="18E831DC" w:rsidR="00257FE7" w:rsidRDefault="00257FE7" w:rsidP="00257FE7">
      <w:r>
        <w:tab/>
      </w:r>
    </w:p>
    <w:p w14:paraId="5E064335" w14:textId="07DD99A5" w:rsidR="00257FE7" w:rsidRPr="00F711FB" w:rsidRDefault="00257FE7" w:rsidP="00D93C5E">
      <w:pPr>
        <w:rPr>
          <w:b/>
          <w:bCs/>
        </w:rPr>
      </w:pPr>
      <w:r w:rsidRPr="00F711FB">
        <w:rPr>
          <w:b/>
          <w:bCs/>
        </w:rPr>
        <w:t>1.7</w:t>
      </w:r>
      <w:r w:rsidRPr="00F711FB">
        <w:rPr>
          <w:b/>
          <w:bCs/>
        </w:rPr>
        <w:tab/>
        <w:t>PROJECT CONDITIONS</w:t>
      </w:r>
    </w:p>
    <w:p w14:paraId="314D3799" w14:textId="6F077F10" w:rsidR="00257FE7" w:rsidRDefault="00257FE7" w:rsidP="00F711FB"/>
    <w:p w14:paraId="7A5ABF45" w14:textId="7E5A9DAE" w:rsidR="00257FE7" w:rsidRDefault="00257FE7" w:rsidP="00F711FB">
      <w:r>
        <w:t>A.</w:t>
      </w:r>
      <w:r>
        <w:tab/>
        <w:t xml:space="preserve">Exterior Work: Do not install in snow, rain, </w:t>
      </w:r>
      <w:r w:rsidR="0006347F">
        <w:t>fog,</w:t>
      </w:r>
      <w:r>
        <w:t xml:space="preserve"> or temperatures outside the manufacturer's limits.</w:t>
      </w:r>
    </w:p>
    <w:p w14:paraId="0668C057" w14:textId="57BAF1DD" w:rsidR="00257FE7" w:rsidRDefault="00257FE7" w:rsidP="00F711FB"/>
    <w:p w14:paraId="7BA79042" w14:textId="0168B863" w:rsidR="00257FE7" w:rsidRDefault="00257FE7" w:rsidP="00F711FB">
      <w:pPr>
        <w:ind w:left="720" w:hanging="720"/>
      </w:pPr>
      <w:r>
        <w:t>B.</w:t>
      </w:r>
      <w:r>
        <w:tab/>
        <w:t>Interior Work: Maintain temperature and relative humidity within the manufacturer's instructions. Ensure adequate ventilation is provided for product curing and exhaust to the exterior.</w:t>
      </w:r>
    </w:p>
    <w:p w14:paraId="66563F31" w14:textId="29766F87" w:rsidR="00257FE7" w:rsidRDefault="00257FE7" w:rsidP="00F711FB"/>
    <w:p w14:paraId="15C32786" w14:textId="2DBC4A8B" w:rsidR="00257FE7" w:rsidRDefault="00257FE7" w:rsidP="00F711FB">
      <w:pPr>
        <w:ind w:left="720" w:hanging="720"/>
      </w:pPr>
      <w:r>
        <w:t>C.</w:t>
      </w:r>
      <w:r>
        <w:tab/>
        <w:t>Coordinate application with other construction to minimize need to cut or remove installed products.</w:t>
      </w:r>
    </w:p>
    <w:p w14:paraId="7AD008A8" w14:textId="77777777" w:rsidR="00257FE7" w:rsidRDefault="00257FE7" w:rsidP="00257FE7">
      <w:r>
        <w:t xml:space="preserve"> </w:t>
      </w:r>
      <w:r>
        <w:tab/>
      </w:r>
    </w:p>
    <w:p w14:paraId="19E91217" w14:textId="728263CD" w:rsidR="00257FE7" w:rsidRPr="00F711FB" w:rsidRDefault="00257FE7" w:rsidP="00D93C5E">
      <w:pPr>
        <w:rPr>
          <w:b/>
          <w:bCs/>
        </w:rPr>
      </w:pPr>
      <w:r w:rsidRPr="00F711FB">
        <w:rPr>
          <w:b/>
          <w:bCs/>
        </w:rPr>
        <w:t>1.8</w:t>
      </w:r>
      <w:r w:rsidRPr="00F711FB">
        <w:rPr>
          <w:b/>
          <w:bCs/>
        </w:rPr>
        <w:tab/>
        <w:t>WARRANTY</w:t>
      </w:r>
    </w:p>
    <w:p w14:paraId="1D67B5FA" w14:textId="77777777" w:rsidR="00257FE7" w:rsidRDefault="00257FE7" w:rsidP="00257FE7">
      <w:r>
        <w:t xml:space="preserve"> </w:t>
      </w:r>
      <w:r>
        <w:tab/>
      </w:r>
    </w:p>
    <w:p w14:paraId="485B7FA5" w14:textId="55F655D1" w:rsidR="00F711FB" w:rsidRDefault="00257FE7" w:rsidP="0006347F">
      <w:pPr>
        <w:ind w:left="720" w:hanging="720"/>
      </w:pPr>
      <w:r>
        <w:t>A.</w:t>
      </w:r>
      <w:r>
        <w:tab/>
        <w:t>Product Warranty: Manufacturers standard limited warranty against deficiencies in materials or fabrication.</w:t>
      </w:r>
    </w:p>
    <w:p w14:paraId="6192C363" w14:textId="77777777" w:rsidR="00257FE7" w:rsidRDefault="00257FE7" w:rsidP="00257FE7">
      <w:r>
        <w:t xml:space="preserve"> </w:t>
      </w:r>
      <w:r>
        <w:tab/>
      </w:r>
    </w:p>
    <w:p w14:paraId="565E8AD9" w14:textId="29B882C5" w:rsidR="00257FE7" w:rsidRPr="00F711FB" w:rsidRDefault="00257FE7" w:rsidP="00F711FB">
      <w:pPr>
        <w:rPr>
          <w:b/>
          <w:bCs/>
        </w:rPr>
      </w:pPr>
      <w:r w:rsidRPr="00F711FB">
        <w:rPr>
          <w:b/>
          <w:bCs/>
        </w:rPr>
        <w:t>PART 2</w:t>
      </w:r>
      <w:r w:rsidRPr="00F711FB">
        <w:rPr>
          <w:b/>
          <w:bCs/>
        </w:rPr>
        <w:tab/>
        <w:t>PRODUCTS</w:t>
      </w:r>
    </w:p>
    <w:p w14:paraId="04019787" w14:textId="77777777" w:rsidR="00257FE7" w:rsidRDefault="00257FE7" w:rsidP="00257FE7">
      <w:r>
        <w:t xml:space="preserve"> </w:t>
      </w:r>
      <w:r>
        <w:tab/>
      </w:r>
    </w:p>
    <w:p w14:paraId="4C1ED0B6" w14:textId="021BC93B" w:rsidR="00257FE7" w:rsidRPr="00F711FB" w:rsidRDefault="00257FE7" w:rsidP="00257FE7">
      <w:pPr>
        <w:rPr>
          <w:b/>
          <w:bCs/>
        </w:rPr>
      </w:pPr>
      <w:r w:rsidRPr="00F711FB">
        <w:rPr>
          <w:b/>
          <w:bCs/>
        </w:rPr>
        <w:t>2.1</w:t>
      </w:r>
      <w:r w:rsidRPr="00F711FB">
        <w:rPr>
          <w:b/>
          <w:bCs/>
        </w:rPr>
        <w:tab/>
        <w:t>MANUFACTURERS</w:t>
      </w:r>
      <w:r w:rsidRPr="00F711FB">
        <w:rPr>
          <w:b/>
          <w:bCs/>
        </w:rPr>
        <w:tab/>
      </w:r>
    </w:p>
    <w:p w14:paraId="5539B892" w14:textId="77777777" w:rsidR="00257FE7" w:rsidRDefault="00257FE7" w:rsidP="00257FE7">
      <w:r>
        <w:t xml:space="preserve"> </w:t>
      </w:r>
      <w:r>
        <w:tab/>
      </w:r>
    </w:p>
    <w:p w14:paraId="1990D047" w14:textId="713EDB82" w:rsidR="00D93C5E" w:rsidRPr="00D93C5E" w:rsidRDefault="00257FE7" w:rsidP="00D93C5E">
      <w:pPr>
        <w:ind w:left="720" w:hanging="720"/>
      </w:pPr>
      <w:r>
        <w:t>A.</w:t>
      </w:r>
      <w:r>
        <w:tab/>
      </w:r>
      <w:r w:rsidR="00D93C5E" w:rsidRPr="00D93C5E">
        <w:t>Flame Seal Products, Inc.</w:t>
      </w:r>
      <w:r w:rsidR="00D93C5E">
        <w:t xml:space="preserve"> </w:t>
      </w:r>
      <w:r w:rsidR="00D93C5E" w:rsidRPr="00D93C5E">
        <w:t>15200 West Drive Houston, Texas 77</w:t>
      </w:r>
      <w:r w:rsidR="00C33D44">
        <w:t>053</w:t>
      </w:r>
      <w:r w:rsidR="00D93C5E">
        <w:t xml:space="preserve"> </w:t>
      </w:r>
      <w:r w:rsidR="00D93C5E" w:rsidRPr="00D93C5E">
        <w:t>Tel: (713) 668 4291</w:t>
      </w:r>
      <w:r w:rsidR="00D93C5E">
        <w:t xml:space="preserve"> </w:t>
      </w:r>
      <w:r w:rsidR="00D93C5E" w:rsidRPr="00D93C5E">
        <w:t>Fax: (713) 668 1724</w:t>
      </w:r>
      <w:r w:rsidR="00D93C5E">
        <w:t xml:space="preserve"> </w:t>
      </w:r>
      <w:r w:rsidR="00D93C5E" w:rsidRPr="00D93C5E">
        <w:t xml:space="preserve">Email: </w:t>
      </w:r>
      <w:hyperlink r:id="rId7" w:history="1">
        <w:r w:rsidR="00D93C5E" w:rsidRPr="00D93C5E">
          <w:rPr>
            <w:rStyle w:val="Hyperlink"/>
          </w:rPr>
          <w:t>dylan@flameseal.com</w:t>
        </w:r>
      </w:hyperlink>
      <w:r w:rsidR="00D93C5E">
        <w:t xml:space="preserve"> </w:t>
      </w:r>
      <w:r w:rsidR="00D93C5E" w:rsidRPr="00D93C5E">
        <w:t>Web: www.flameseal.com</w:t>
      </w:r>
    </w:p>
    <w:p w14:paraId="717426A9" w14:textId="6392EFE2" w:rsidR="00257FE7" w:rsidRDefault="00257FE7" w:rsidP="00D93C5E">
      <w:pPr>
        <w:ind w:left="720" w:hanging="720"/>
      </w:pPr>
    </w:p>
    <w:p w14:paraId="78B60940" w14:textId="55CE37E8" w:rsidR="00257FE7" w:rsidRDefault="00257FE7" w:rsidP="00F711FB">
      <w:r>
        <w:t xml:space="preserve">         </w:t>
      </w:r>
      <w:r>
        <w:tab/>
        <w:t>**NOTE TO SPECIFIER** Delete if not required.</w:t>
      </w:r>
    </w:p>
    <w:p w14:paraId="7A8DC85E" w14:textId="77777777" w:rsidR="00257FE7" w:rsidRDefault="00257FE7" w:rsidP="00257FE7">
      <w:r>
        <w:t xml:space="preserve"> </w:t>
      </w:r>
      <w:r>
        <w:tab/>
      </w:r>
    </w:p>
    <w:p w14:paraId="2C4CC28C" w14:textId="0FE58C1D" w:rsidR="00257FE7" w:rsidRPr="00D93C5E" w:rsidRDefault="00D93C5E" w:rsidP="00D93C5E">
      <w:pPr>
        <w:rPr>
          <w:b/>
          <w:bCs/>
        </w:rPr>
      </w:pPr>
      <w:r w:rsidRPr="00D93C5E">
        <w:rPr>
          <w:b/>
          <w:bCs/>
        </w:rPr>
        <w:t xml:space="preserve">2.2 </w:t>
      </w:r>
      <w:r>
        <w:rPr>
          <w:b/>
          <w:bCs/>
        </w:rPr>
        <w:tab/>
      </w:r>
      <w:r w:rsidRPr="00D93C5E">
        <w:rPr>
          <w:b/>
          <w:bCs/>
        </w:rPr>
        <w:t>Interior</w:t>
      </w:r>
      <w:r w:rsidR="00257FE7" w:rsidRPr="00D93C5E">
        <w:rPr>
          <w:b/>
          <w:bCs/>
        </w:rPr>
        <w:t xml:space="preserve"> </w:t>
      </w:r>
      <w:r w:rsidR="00BC7579" w:rsidRPr="00D93C5E">
        <w:rPr>
          <w:b/>
          <w:bCs/>
        </w:rPr>
        <w:t>fire-retardant</w:t>
      </w:r>
      <w:r w:rsidR="00257FE7" w:rsidRPr="00D93C5E">
        <w:rPr>
          <w:b/>
          <w:bCs/>
        </w:rPr>
        <w:t xml:space="preserve"> spray for </w:t>
      </w:r>
      <w:r w:rsidR="00446171">
        <w:rPr>
          <w:b/>
          <w:bCs/>
        </w:rPr>
        <w:t xml:space="preserve">unfinished wood. </w:t>
      </w:r>
    </w:p>
    <w:p w14:paraId="17D04D34" w14:textId="4A8AB1E6" w:rsidR="00257FE7" w:rsidRDefault="00257FE7" w:rsidP="00F711FB"/>
    <w:p w14:paraId="0D3BB990" w14:textId="7B39C0A8" w:rsidR="00BC7579" w:rsidRDefault="00D93C5E" w:rsidP="00D93C5E">
      <w:pPr>
        <w:ind w:left="360" w:hanging="360"/>
      </w:pPr>
      <w:r>
        <w:t>A.</w:t>
      </w:r>
      <w:r w:rsidR="001B2123">
        <w:tab/>
      </w:r>
      <w:r w:rsidRPr="00D93C5E">
        <w:t>Wood Seal A™ is a water-based fire-retardant treatment for raw untreated softwoods for interior applications only. Wood Seal A™ meets Class A standards when tested to the ASTM E 84 Flame Spread Test</w:t>
      </w:r>
      <w:r>
        <w:t>.</w:t>
      </w:r>
    </w:p>
    <w:p w14:paraId="3D965CA1" w14:textId="655288E2" w:rsidR="00257FE7" w:rsidRDefault="00BC7579" w:rsidP="00BC7579">
      <w:pPr>
        <w:ind w:left="720"/>
      </w:pPr>
      <w:r>
        <w:t>1.</w:t>
      </w:r>
      <w:r w:rsidR="00D93C5E">
        <w:t xml:space="preserve"> </w:t>
      </w:r>
      <w:r>
        <w:t>Intertek Report No. 3127494SAT-001</w:t>
      </w:r>
      <w:r w:rsidR="00257FE7">
        <w:tab/>
      </w:r>
    </w:p>
    <w:p w14:paraId="4C6C570B" w14:textId="626505BC" w:rsidR="00257FE7" w:rsidRDefault="00BC7579" w:rsidP="00BC7579">
      <w:pPr>
        <w:ind w:left="720"/>
      </w:pPr>
      <w:r>
        <w:t>2</w:t>
      </w:r>
      <w:r w:rsidR="00257FE7">
        <w:t>.</w:t>
      </w:r>
      <w:r w:rsidR="00D93C5E">
        <w:t xml:space="preserve"> </w:t>
      </w:r>
      <w:r w:rsidR="00257FE7">
        <w:t>ASTM E84:</w:t>
      </w:r>
    </w:p>
    <w:p w14:paraId="73541091" w14:textId="5D962AF2" w:rsidR="00257FE7" w:rsidRDefault="00257FE7" w:rsidP="00D93C5E">
      <w:pPr>
        <w:ind w:left="1440"/>
      </w:pPr>
      <w:r>
        <w:t>a.</w:t>
      </w:r>
      <w:r w:rsidR="00BC7579">
        <w:t xml:space="preserve"> </w:t>
      </w:r>
      <w:r>
        <w:t>Flame Spread Index: 25.</w:t>
      </w:r>
    </w:p>
    <w:p w14:paraId="7B0C8721" w14:textId="3A5F3213" w:rsidR="00257FE7" w:rsidRDefault="00257FE7" w:rsidP="00D93C5E">
      <w:pPr>
        <w:ind w:left="1440"/>
      </w:pPr>
      <w:r>
        <w:t>b.</w:t>
      </w:r>
      <w:r w:rsidR="00BC7579">
        <w:t xml:space="preserve"> </w:t>
      </w:r>
      <w:r>
        <w:t>Smoke Developed Index:</w:t>
      </w:r>
      <w:r w:rsidR="00BC7579">
        <w:t xml:space="preserve"> 5</w:t>
      </w:r>
      <w:r>
        <w:t>0.</w:t>
      </w:r>
    </w:p>
    <w:p w14:paraId="69D7D98E" w14:textId="2112E910" w:rsidR="00257FE7" w:rsidRDefault="00BC7579" w:rsidP="00BC7579">
      <w:pPr>
        <w:ind w:left="720"/>
        <w:jc w:val="both"/>
      </w:pPr>
      <w:r>
        <w:t>3</w:t>
      </w:r>
      <w:r w:rsidR="00257FE7">
        <w:t>.</w:t>
      </w:r>
      <w:r w:rsidR="00D93C5E">
        <w:t xml:space="preserve"> </w:t>
      </w:r>
      <w:r w:rsidR="00257FE7">
        <w:t>UL 723.</w:t>
      </w:r>
    </w:p>
    <w:p w14:paraId="7DE0E7D6" w14:textId="499EC660" w:rsidR="00D93C5E" w:rsidRDefault="00D93C5E" w:rsidP="00BC7579">
      <w:pPr>
        <w:ind w:left="720"/>
        <w:jc w:val="both"/>
      </w:pPr>
      <w:r>
        <w:t>4. NFPA 703</w:t>
      </w:r>
    </w:p>
    <w:p w14:paraId="71547F1D" w14:textId="00D16A94" w:rsidR="00257FE7" w:rsidRDefault="00257FE7" w:rsidP="00BC7579">
      <w:pPr>
        <w:ind w:left="-1440"/>
        <w:jc w:val="both"/>
      </w:pPr>
    </w:p>
    <w:p w14:paraId="519D5F7D" w14:textId="324B42BA" w:rsidR="00257FE7" w:rsidRDefault="00257FE7" w:rsidP="00367ACE">
      <w:r>
        <w:t>Provide with manufacturer's dye to distinguish treated and untreated areas, if required.</w:t>
      </w:r>
    </w:p>
    <w:p w14:paraId="3AD232FB" w14:textId="77777777" w:rsidR="00367ACE" w:rsidRDefault="00367ACE" w:rsidP="00367ACE"/>
    <w:p w14:paraId="4C2C0C3B" w14:textId="73DE8075" w:rsidR="00257FE7" w:rsidRDefault="00257FE7" w:rsidP="00367ACE">
      <w:pPr>
        <w:pStyle w:val="ListParagraph"/>
        <w:numPr>
          <w:ilvl w:val="0"/>
          <w:numId w:val="25"/>
        </w:numPr>
        <w:ind w:left="360"/>
      </w:pPr>
      <w:r>
        <w:t>Acceptable Substrates Include</w:t>
      </w:r>
      <w:r w:rsidR="00BC7579">
        <w:t xml:space="preserve">: Southern Yellow Pine, Cedar, Douglas Fir, Spruce, Larch, Reclaimed Woods, </w:t>
      </w:r>
      <w:r>
        <w:t>other porous softwoods</w:t>
      </w:r>
      <w:r w:rsidR="00BC7579">
        <w:t xml:space="preserve">, </w:t>
      </w:r>
      <w:r>
        <w:t>and sheathings.</w:t>
      </w:r>
      <w:r w:rsidR="00BC7579">
        <w:t xml:space="preserve"> For</w:t>
      </w:r>
      <w:r w:rsidR="00D93C5E">
        <w:t xml:space="preserve"> Hardwood applications please view Wood Seal A’s Application Guide at </w:t>
      </w:r>
      <w:hyperlink r:id="rId8" w:history="1">
        <w:r w:rsidR="000E4F90" w:rsidRPr="00E472AF">
          <w:rPr>
            <w:rStyle w:val="Hyperlink"/>
          </w:rPr>
          <w:t>www.flameseal.com</w:t>
        </w:r>
      </w:hyperlink>
      <w:r w:rsidR="00D93C5E">
        <w:t>.</w:t>
      </w:r>
    </w:p>
    <w:p w14:paraId="1CC08A01" w14:textId="77777777" w:rsidR="000E4F90" w:rsidRDefault="000E4F90" w:rsidP="000E4F90"/>
    <w:p w14:paraId="12A11B2C" w14:textId="42A0222E" w:rsidR="000E4F90" w:rsidRDefault="000E4F90" w:rsidP="001B2123">
      <w:pPr>
        <w:pStyle w:val="ListParagraph"/>
        <w:numPr>
          <w:ilvl w:val="0"/>
          <w:numId w:val="25"/>
        </w:numPr>
        <w:ind w:left="360"/>
      </w:pPr>
      <w:r>
        <w:t>Comply with manufacturer's written application instructions</w:t>
      </w:r>
    </w:p>
    <w:p w14:paraId="6AE29CAA" w14:textId="77777777" w:rsidR="000E4F90" w:rsidRDefault="000E4F90" w:rsidP="001B2123">
      <w:pPr>
        <w:pStyle w:val="ListParagraph"/>
        <w:ind w:left="360"/>
      </w:pPr>
    </w:p>
    <w:p w14:paraId="708AD54A" w14:textId="551ACCDF" w:rsidR="00257FE7" w:rsidRDefault="00257FE7" w:rsidP="001B2123">
      <w:pPr>
        <w:pStyle w:val="ListParagraph"/>
        <w:numPr>
          <w:ilvl w:val="0"/>
          <w:numId w:val="25"/>
        </w:numPr>
        <w:ind w:left="360"/>
      </w:pPr>
      <w:r>
        <w:t>Do not install in areas with constant relative humidity over 80%.</w:t>
      </w:r>
    </w:p>
    <w:p w14:paraId="2B6EF231" w14:textId="77777777" w:rsidR="00C33D44" w:rsidRDefault="00C33D44" w:rsidP="00DB0A89">
      <w:pPr>
        <w:pStyle w:val="ListParagraph"/>
      </w:pPr>
    </w:p>
    <w:p w14:paraId="00327995" w14:textId="25EED1E0" w:rsidR="00C33D44" w:rsidRDefault="00C33D44" w:rsidP="001B2123">
      <w:pPr>
        <w:pStyle w:val="ListParagraph"/>
        <w:numPr>
          <w:ilvl w:val="0"/>
          <w:numId w:val="25"/>
        </w:numPr>
        <w:ind w:left="360"/>
      </w:pPr>
      <w:r>
        <w:t>Do not install with moisture content of the wood exceeds 1</w:t>
      </w:r>
      <w:r w:rsidR="0006347F">
        <w:t>1</w:t>
      </w:r>
      <w:r>
        <w:t>%.</w:t>
      </w:r>
    </w:p>
    <w:p w14:paraId="192575FD" w14:textId="7389A77A" w:rsidR="00257FE7" w:rsidRDefault="00257FE7" w:rsidP="00D93C5E"/>
    <w:p w14:paraId="206AB65C" w14:textId="77777777" w:rsidR="001B2123" w:rsidRDefault="001B2123" w:rsidP="00257FE7"/>
    <w:p w14:paraId="289E548F" w14:textId="4598D8DE" w:rsidR="00257FE7" w:rsidRPr="001B2123" w:rsidRDefault="00257FE7" w:rsidP="001B2123">
      <w:pPr>
        <w:pStyle w:val="ListParagraph"/>
        <w:numPr>
          <w:ilvl w:val="2"/>
          <w:numId w:val="29"/>
        </w:numPr>
        <w:rPr>
          <w:b/>
          <w:bCs/>
        </w:rPr>
      </w:pPr>
      <w:r w:rsidRPr="001B2123">
        <w:rPr>
          <w:b/>
          <w:bCs/>
        </w:rPr>
        <w:t>FINISHES</w:t>
      </w:r>
      <w:r w:rsidRPr="001B2123">
        <w:rPr>
          <w:b/>
          <w:bCs/>
        </w:rPr>
        <w:tab/>
      </w:r>
    </w:p>
    <w:p w14:paraId="5D1ECA83" w14:textId="77777777" w:rsidR="00257FE7" w:rsidRDefault="00257FE7" w:rsidP="00257FE7">
      <w:r>
        <w:t xml:space="preserve"> </w:t>
      </w:r>
      <w:r>
        <w:tab/>
      </w:r>
    </w:p>
    <w:p w14:paraId="014BF842" w14:textId="7F3CC760" w:rsidR="00257FE7" w:rsidRDefault="001B2123" w:rsidP="00367ACE">
      <w:pPr>
        <w:pStyle w:val="ListParagraph"/>
        <w:numPr>
          <w:ilvl w:val="0"/>
          <w:numId w:val="30"/>
        </w:numPr>
        <w:ind w:left="360"/>
      </w:pPr>
      <w:r>
        <w:t xml:space="preserve">If </w:t>
      </w:r>
      <w:r w:rsidRPr="001B2123">
        <w:t xml:space="preserve">the substrate may be subject to high humidity, the use of a sealer will be required. Flame Seal Recommends 421-6300 </w:t>
      </w:r>
      <w:proofErr w:type="spellStart"/>
      <w:r w:rsidRPr="001B2123">
        <w:t>Chemlife</w:t>
      </w:r>
      <w:proofErr w:type="spellEnd"/>
      <w:r w:rsidRPr="001B2123">
        <w:t xml:space="preserve"> 24 Conversion Varnish Sealer. All of </w:t>
      </w:r>
      <w:r w:rsidR="00105430" w:rsidRPr="00D93C5E">
        <w:t>Wood Seal A™</w:t>
      </w:r>
      <w:r w:rsidR="00105430">
        <w:t xml:space="preserve"> </w:t>
      </w:r>
      <w:r w:rsidRPr="001B2123">
        <w:t xml:space="preserve">application instructions must be FULLY met before applying the </w:t>
      </w:r>
      <w:proofErr w:type="spellStart"/>
      <w:r w:rsidRPr="001B2123">
        <w:t>Chemlife</w:t>
      </w:r>
      <w:proofErr w:type="spellEnd"/>
      <w:r w:rsidRPr="001B2123">
        <w:t>.</w:t>
      </w:r>
    </w:p>
    <w:p w14:paraId="5A7FA855" w14:textId="06867BB9" w:rsidR="00257FE7" w:rsidRDefault="00257FE7" w:rsidP="001B2123">
      <w:pPr>
        <w:ind w:hanging="720"/>
      </w:pPr>
    </w:p>
    <w:p w14:paraId="6E69B319" w14:textId="1378100D" w:rsidR="00257FE7" w:rsidRDefault="001B2123" w:rsidP="00367ACE">
      <w:pPr>
        <w:pStyle w:val="ListParagraph"/>
        <w:numPr>
          <w:ilvl w:val="0"/>
          <w:numId w:val="30"/>
        </w:numPr>
        <w:ind w:left="360"/>
      </w:pPr>
      <w:r>
        <w:t xml:space="preserve">Wood Seal A™ has is a unique proprietary formulation that is solely focused on fire performance. </w:t>
      </w:r>
      <w:r w:rsidR="00367ACE">
        <w:t>Topcoats</w:t>
      </w:r>
      <w:r>
        <w:t xml:space="preserve"> and stains can sometimes react with Wood Seal A™. When a </w:t>
      </w:r>
      <w:r w:rsidR="00367ACE">
        <w:t>topcoat</w:t>
      </w:r>
      <w:r>
        <w:t xml:space="preserve"> or stain is required, it is the responsibility of the customer to check for the compatibility of the two products.</w:t>
      </w:r>
    </w:p>
    <w:p w14:paraId="24D72390" w14:textId="3938851D" w:rsidR="00257FE7" w:rsidRDefault="00257FE7" w:rsidP="00257FE7">
      <w:r>
        <w:tab/>
      </w:r>
    </w:p>
    <w:p w14:paraId="6C7C0647" w14:textId="3B91440F" w:rsidR="00257FE7" w:rsidRPr="00367ACE" w:rsidRDefault="00257FE7" w:rsidP="00367ACE">
      <w:pPr>
        <w:rPr>
          <w:b/>
          <w:bCs/>
        </w:rPr>
      </w:pPr>
      <w:r w:rsidRPr="00367ACE">
        <w:rPr>
          <w:b/>
          <w:bCs/>
        </w:rPr>
        <w:t>PART 3</w:t>
      </w:r>
      <w:r w:rsidR="00367ACE">
        <w:rPr>
          <w:b/>
          <w:bCs/>
        </w:rPr>
        <w:tab/>
      </w:r>
      <w:r w:rsidRPr="00367ACE">
        <w:rPr>
          <w:b/>
          <w:bCs/>
        </w:rPr>
        <w:t>EXECUTION</w:t>
      </w:r>
    </w:p>
    <w:p w14:paraId="6D09D01F" w14:textId="77777777" w:rsidR="00257FE7" w:rsidRPr="00367ACE" w:rsidRDefault="00257FE7" w:rsidP="00257FE7">
      <w:pPr>
        <w:rPr>
          <w:b/>
          <w:bCs/>
        </w:rPr>
      </w:pPr>
      <w:r w:rsidRPr="00367ACE">
        <w:rPr>
          <w:b/>
          <w:bCs/>
        </w:rPr>
        <w:t xml:space="preserve"> </w:t>
      </w:r>
      <w:r w:rsidRPr="00367ACE">
        <w:rPr>
          <w:b/>
          <w:bCs/>
        </w:rPr>
        <w:tab/>
      </w:r>
    </w:p>
    <w:p w14:paraId="2C8218B1" w14:textId="1BBC6496" w:rsidR="00257FE7" w:rsidRPr="00367ACE" w:rsidRDefault="00257FE7" w:rsidP="00367ACE">
      <w:pPr>
        <w:rPr>
          <w:b/>
          <w:bCs/>
        </w:rPr>
      </w:pPr>
      <w:r w:rsidRPr="00367ACE">
        <w:rPr>
          <w:b/>
          <w:bCs/>
        </w:rPr>
        <w:t>3.1</w:t>
      </w:r>
      <w:r w:rsidRPr="00367ACE">
        <w:rPr>
          <w:b/>
          <w:bCs/>
        </w:rPr>
        <w:tab/>
        <w:t>MANUFACTURERS INSTRUCTIONS</w:t>
      </w:r>
    </w:p>
    <w:p w14:paraId="15FA19A4" w14:textId="256B8E7C" w:rsidR="00257FE7" w:rsidRDefault="00257FE7" w:rsidP="00367ACE"/>
    <w:p w14:paraId="36B66C2A" w14:textId="5628C455" w:rsidR="00257FE7" w:rsidRDefault="00257FE7" w:rsidP="00367ACE">
      <w:pPr>
        <w:ind w:left="720" w:hanging="720"/>
      </w:pPr>
      <w:r>
        <w:t>A.</w:t>
      </w:r>
      <w:r>
        <w:tab/>
        <w:t>Comply with manufacturer's written recommendations including technical bulletins, handling, storage, installation, and warranty requirements.</w:t>
      </w:r>
    </w:p>
    <w:p w14:paraId="0F605AF5" w14:textId="7500D74E" w:rsidR="00257FE7" w:rsidRDefault="00257FE7" w:rsidP="00367ACE"/>
    <w:p w14:paraId="7E8E185B" w14:textId="7E9B0D1F" w:rsidR="00257FE7" w:rsidRDefault="00257FE7" w:rsidP="00367ACE">
      <w:r>
        <w:t>B.</w:t>
      </w:r>
      <w:r>
        <w:tab/>
        <w:t>Do not dilute products or allow products to freeze.</w:t>
      </w:r>
    </w:p>
    <w:p w14:paraId="2C495378" w14:textId="1D535301" w:rsidR="00257FE7" w:rsidRDefault="00257FE7" w:rsidP="00367ACE"/>
    <w:p w14:paraId="1413F88A" w14:textId="4EC109C7" w:rsidR="00257FE7" w:rsidRDefault="00257FE7" w:rsidP="00367ACE">
      <w:r>
        <w:t>C.</w:t>
      </w:r>
      <w:r>
        <w:tab/>
        <w:t>Do not use products beyond manufacturer's stated shelf life.</w:t>
      </w:r>
    </w:p>
    <w:p w14:paraId="5D3286B8" w14:textId="77777777" w:rsidR="00257FE7" w:rsidRDefault="00257FE7" w:rsidP="00257FE7">
      <w:r>
        <w:t xml:space="preserve"> </w:t>
      </w:r>
      <w:r>
        <w:tab/>
      </w:r>
    </w:p>
    <w:p w14:paraId="766730B5" w14:textId="5F3E37CC" w:rsidR="00257FE7" w:rsidRPr="00367ACE" w:rsidRDefault="00257FE7" w:rsidP="00367ACE">
      <w:pPr>
        <w:rPr>
          <w:b/>
          <w:bCs/>
        </w:rPr>
      </w:pPr>
      <w:r w:rsidRPr="00367ACE">
        <w:rPr>
          <w:b/>
          <w:bCs/>
        </w:rPr>
        <w:t>3.2</w:t>
      </w:r>
      <w:r w:rsidRPr="00367ACE">
        <w:rPr>
          <w:b/>
          <w:bCs/>
        </w:rPr>
        <w:tab/>
        <w:t>EXAMINATION</w:t>
      </w:r>
    </w:p>
    <w:p w14:paraId="6FC49739" w14:textId="77777777" w:rsidR="00257FE7" w:rsidRDefault="00257FE7" w:rsidP="00257FE7">
      <w:r>
        <w:t xml:space="preserve"> </w:t>
      </w:r>
      <w:r>
        <w:tab/>
      </w:r>
    </w:p>
    <w:p w14:paraId="63EA4F21" w14:textId="2EF0A00D" w:rsidR="00257FE7" w:rsidRDefault="00257FE7" w:rsidP="00575F2C">
      <w:pPr>
        <w:ind w:left="720" w:hanging="720"/>
      </w:pPr>
      <w:r>
        <w:t>A.</w:t>
      </w:r>
      <w:r>
        <w:tab/>
        <w:t>Examine substrates and installation areas with installer present, for compliance with manufacturer's instructions and conditions that might affect performance of the Work. Verify the following:</w:t>
      </w:r>
    </w:p>
    <w:p w14:paraId="2EEA94B5" w14:textId="03F11E3E" w:rsidR="00257FE7" w:rsidRDefault="00257FE7" w:rsidP="00367ACE">
      <w:pPr>
        <w:ind w:left="720"/>
      </w:pPr>
      <w:r>
        <w:t>1.</w:t>
      </w:r>
      <w:r w:rsidR="00367ACE">
        <w:t xml:space="preserve"> </w:t>
      </w:r>
      <w:r>
        <w:t>Substrates are clean, dry, free of dirt, oil, grease, release agents, compounds, lubricants, scale, rust, incompatible primers or agents, paints, encapsulates or foreign substances capable of impairing bond under conditions of normal use or fire exposure.</w:t>
      </w:r>
    </w:p>
    <w:p w14:paraId="7857B6EC" w14:textId="34B8B437" w:rsidR="00257FE7" w:rsidRDefault="00257FE7" w:rsidP="00367ACE">
      <w:pPr>
        <w:ind w:left="720"/>
      </w:pPr>
      <w:r>
        <w:t>2.</w:t>
      </w:r>
      <w:r w:rsidR="00367ACE">
        <w:t xml:space="preserve"> </w:t>
      </w:r>
      <w:r>
        <w:t>Objects penetrating coated areas (clips, hangers, piping, sleeves, equipment etc.) shall be securely attached and complete.</w:t>
      </w:r>
    </w:p>
    <w:p w14:paraId="58116D66" w14:textId="69FA3644" w:rsidR="00257FE7" w:rsidRDefault="00257FE7" w:rsidP="00367ACE">
      <w:pPr>
        <w:ind w:left="720"/>
      </w:pPr>
      <w:r>
        <w:t>3.</w:t>
      </w:r>
      <w:r w:rsidR="00367ACE">
        <w:t xml:space="preserve"> </w:t>
      </w:r>
      <w:r>
        <w:t xml:space="preserve">Substrates to receive fire retardant products shall not be obstructed by ducts, piping, </w:t>
      </w:r>
      <w:r w:rsidR="00DF7A99">
        <w:t>equipment,</w:t>
      </w:r>
      <w:r>
        <w:t xml:space="preserve"> or other construction that will interfere with application.</w:t>
      </w:r>
    </w:p>
    <w:p w14:paraId="2F9ED106" w14:textId="79FB3241" w:rsidR="00257FE7" w:rsidRDefault="00257FE7" w:rsidP="00367ACE"/>
    <w:p w14:paraId="7AC5AD64" w14:textId="58F1E212" w:rsidR="00257FE7" w:rsidRDefault="00257FE7" w:rsidP="00367ACE">
      <w:r>
        <w:t>B.</w:t>
      </w:r>
      <w:r>
        <w:tab/>
        <w:t>Prepare written report listing conditions that will interfere with installation.</w:t>
      </w:r>
    </w:p>
    <w:p w14:paraId="0C99C9D8" w14:textId="527AB13E" w:rsidR="00257FE7" w:rsidRDefault="00257FE7" w:rsidP="00367ACE"/>
    <w:p w14:paraId="02E12855" w14:textId="1F7F4AB4" w:rsidR="00257FE7" w:rsidRDefault="00257FE7" w:rsidP="00575F2C">
      <w:pPr>
        <w:pStyle w:val="ListParagraph"/>
        <w:numPr>
          <w:ilvl w:val="0"/>
          <w:numId w:val="30"/>
        </w:numPr>
        <w:ind w:hanging="720"/>
      </w:pPr>
      <w:bookmarkStart w:id="0" w:name="_Hlk43797396"/>
      <w:r>
        <w:t>Do not proceed until unacceptable conditions are corrected.</w:t>
      </w:r>
    </w:p>
    <w:bookmarkEnd w:id="0"/>
    <w:p w14:paraId="4A195160" w14:textId="77777777" w:rsidR="00367ACE" w:rsidRDefault="00367ACE" w:rsidP="00367ACE"/>
    <w:p w14:paraId="12D4F596" w14:textId="50BAB0E5" w:rsidR="00257FE7" w:rsidRDefault="00257FE7" w:rsidP="00367ACE"/>
    <w:p w14:paraId="0EDE3185" w14:textId="2D8E0ED9" w:rsidR="00257FE7" w:rsidRPr="00367ACE" w:rsidRDefault="00257FE7" w:rsidP="00367ACE">
      <w:pPr>
        <w:rPr>
          <w:b/>
          <w:bCs/>
        </w:rPr>
      </w:pPr>
      <w:r w:rsidRPr="00367ACE">
        <w:rPr>
          <w:b/>
          <w:bCs/>
        </w:rPr>
        <w:t>3.3</w:t>
      </w:r>
      <w:r w:rsidRPr="00367ACE">
        <w:rPr>
          <w:b/>
          <w:bCs/>
        </w:rPr>
        <w:tab/>
        <w:t>PREPARATION</w:t>
      </w:r>
    </w:p>
    <w:p w14:paraId="7D1E845E" w14:textId="38C0ECCF" w:rsidR="00257FE7" w:rsidRDefault="00257FE7" w:rsidP="00367ACE"/>
    <w:p w14:paraId="682C75C8" w14:textId="59EBB43D" w:rsidR="00DB0A89" w:rsidRDefault="00257FE7" w:rsidP="0006347F">
      <w:pPr>
        <w:pStyle w:val="ListParagraph"/>
        <w:numPr>
          <w:ilvl w:val="0"/>
          <w:numId w:val="34"/>
        </w:numPr>
        <w:spacing w:line="480" w:lineRule="auto"/>
      </w:pPr>
      <w:r>
        <w:t>Clean and prepare substrates in accordance with manufacturer's instructions.</w:t>
      </w:r>
      <w:r w:rsidR="00DB0A89">
        <w:t xml:space="preserve"> </w:t>
      </w:r>
    </w:p>
    <w:p w14:paraId="426E68E5" w14:textId="4FFBA5EF" w:rsidR="00DB0A89" w:rsidRDefault="00DB0A89" w:rsidP="0006347F">
      <w:pPr>
        <w:pStyle w:val="ListParagraph"/>
        <w:numPr>
          <w:ilvl w:val="0"/>
          <w:numId w:val="34"/>
        </w:numPr>
        <w:spacing w:line="480" w:lineRule="auto"/>
      </w:pPr>
      <w:r>
        <w:t>The moisture content</w:t>
      </w:r>
      <w:r>
        <w:t xml:space="preserve"> of the wood</w:t>
      </w:r>
      <w:r>
        <w:t xml:space="preserve"> must be below 11%.</w:t>
      </w:r>
    </w:p>
    <w:p w14:paraId="45BA5E27" w14:textId="77777777" w:rsidR="00DB0A89" w:rsidRDefault="00DB0A89" w:rsidP="0006347F">
      <w:pPr>
        <w:pStyle w:val="ListParagraph"/>
        <w:numPr>
          <w:ilvl w:val="0"/>
          <w:numId w:val="34"/>
        </w:numPr>
        <w:spacing w:line="480" w:lineRule="auto"/>
      </w:pPr>
      <w:r>
        <w:t>Protect adjacent construction from overspray or unintended installation.</w:t>
      </w:r>
    </w:p>
    <w:p w14:paraId="31147CA1" w14:textId="45AD4A4C" w:rsidR="00DB0A89" w:rsidRDefault="00DB0A89" w:rsidP="0006347F">
      <w:pPr>
        <w:pStyle w:val="ListParagraph"/>
        <w:numPr>
          <w:ilvl w:val="0"/>
          <w:numId w:val="34"/>
        </w:numPr>
        <w:spacing w:line="480" w:lineRule="auto"/>
      </w:pPr>
      <w:r>
        <w:t>The substrate should be sanded using 120, 150, or 180 grit sandpaper before coating.</w:t>
      </w:r>
    </w:p>
    <w:p w14:paraId="24080DEB" w14:textId="595FEBD6" w:rsidR="00DB0A89" w:rsidRDefault="00DF7A99" w:rsidP="0006347F">
      <w:pPr>
        <w:pStyle w:val="ListParagraph"/>
        <w:numPr>
          <w:ilvl w:val="0"/>
          <w:numId w:val="34"/>
        </w:numPr>
        <w:spacing w:line="480" w:lineRule="auto"/>
      </w:pPr>
      <w:r>
        <w:t>Check temperature and humidity ranges prior to the application.</w:t>
      </w:r>
    </w:p>
    <w:p w14:paraId="1512F332" w14:textId="23F54B85" w:rsidR="004B626C" w:rsidRDefault="00DF7A99" w:rsidP="004B626C">
      <w:pPr>
        <w:pStyle w:val="ListParagraph"/>
        <w:numPr>
          <w:ilvl w:val="0"/>
          <w:numId w:val="34"/>
        </w:numPr>
        <w:spacing w:line="480" w:lineRule="auto"/>
      </w:pPr>
      <w:r w:rsidRPr="00DF7A99">
        <w:t>Do not proceed until unacceptable conditions are corrected</w:t>
      </w:r>
      <w:r>
        <w:t xml:space="preserve">. </w:t>
      </w:r>
      <w:r w:rsidR="00257FE7">
        <w:tab/>
      </w:r>
    </w:p>
    <w:p w14:paraId="145EE524" w14:textId="77777777" w:rsidR="004B626C" w:rsidRDefault="004B626C" w:rsidP="004B626C">
      <w:pPr>
        <w:pStyle w:val="ListParagraph"/>
        <w:spacing w:line="480" w:lineRule="auto"/>
      </w:pPr>
    </w:p>
    <w:p w14:paraId="5E838066" w14:textId="4DCAF847" w:rsidR="00257FE7" w:rsidRPr="00367ACE" w:rsidRDefault="00257FE7" w:rsidP="00367ACE">
      <w:pPr>
        <w:rPr>
          <w:b/>
          <w:bCs/>
        </w:rPr>
      </w:pPr>
      <w:r w:rsidRPr="00367ACE">
        <w:rPr>
          <w:b/>
          <w:bCs/>
        </w:rPr>
        <w:t>3.4</w:t>
      </w:r>
      <w:r w:rsidRPr="00367ACE">
        <w:rPr>
          <w:b/>
          <w:bCs/>
        </w:rPr>
        <w:tab/>
        <w:t>INSTALLATION</w:t>
      </w:r>
    </w:p>
    <w:p w14:paraId="75E1A54A" w14:textId="77777777" w:rsidR="00257FE7" w:rsidRDefault="00257FE7" w:rsidP="00257FE7">
      <w:r>
        <w:t xml:space="preserve"> </w:t>
      </w:r>
      <w:r>
        <w:tab/>
      </w:r>
    </w:p>
    <w:p w14:paraId="192CEB31" w14:textId="2FA6FF08" w:rsidR="00257FE7" w:rsidRDefault="00257FE7" w:rsidP="00575F2C">
      <w:pPr>
        <w:ind w:left="720" w:hanging="720"/>
      </w:pPr>
      <w:r>
        <w:t>A.</w:t>
      </w:r>
      <w:r>
        <w:tab/>
        <w:t>Apply in accordance with the manufacturer's instructions, including substrate temperatures and relative humidity, to achieve recommended thickness and application rates to cover substrates with a monolithic coating of uniform density and texture.</w:t>
      </w:r>
      <w:r>
        <w:tab/>
      </w:r>
    </w:p>
    <w:p w14:paraId="6B477FB4" w14:textId="77777777" w:rsidR="00257FE7" w:rsidRDefault="00257FE7" w:rsidP="00257FE7">
      <w:r>
        <w:t xml:space="preserve"> </w:t>
      </w:r>
      <w:r>
        <w:tab/>
      </w:r>
    </w:p>
    <w:p w14:paraId="30FB127B" w14:textId="5E169E59" w:rsidR="00257FE7" w:rsidRDefault="00DB0A89" w:rsidP="00367ACE">
      <w:r>
        <w:t>B</w:t>
      </w:r>
      <w:r w:rsidR="00257FE7">
        <w:t>.</w:t>
      </w:r>
      <w:r w:rsidR="00257FE7">
        <w:tab/>
        <w:t xml:space="preserve">Interior </w:t>
      </w:r>
      <w:r w:rsidR="003D391B">
        <w:t>fire-retardant</w:t>
      </w:r>
      <w:r w:rsidR="00257FE7">
        <w:t xml:space="preserve"> spray for unfinished wood (</w:t>
      </w:r>
      <w:r w:rsidR="00105430" w:rsidRPr="00D93C5E">
        <w:t>Wood Seal A™</w:t>
      </w:r>
      <w:r w:rsidR="00257FE7">
        <w:t>):</w:t>
      </w:r>
    </w:p>
    <w:p w14:paraId="2B00B65A" w14:textId="79507700" w:rsidR="00257FE7" w:rsidRDefault="00257FE7" w:rsidP="00367ACE">
      <w:pPr>
        <w:ind w:left="720"/>
      </w:pPr>
      <w:r>
        <w:t>1.</w:t>
      </w:r>
      <w:r w:rsidR="00446171">
        <w:t xml:space="preserve"> </w:t>
      </w:r>
      <w:r>
        <w:t>Agitate product before and throughout application.</w:t>
      </w:r>
    </w:p>
    <w:p w14:paraId="556060FA" w14:textId="0D112607" w:rsidR="00257FE7" w:rsidRDefault="00257FE7" w:rsidP="00367ACE">
      <w:pPr>
        <w:ind w:left="1440" w:hanging="720"/>
      </w:pPr>
      <w:r>
        <w:t>2.</w:t>
      </w:r>
      <w:r w:rsidR="00446171">
        <w:t xml:space="preserve"> </w:t>
      </w:r>
      <w:r>
        <w:t xml:space="preserve">Spray with hand-pump sprayer, high volume low-pressure system, </w:t>
      </w:r>
      <w:r w:rsidR="00DB0A89">
        <w:t>roller,</w:t>
      </w:r>
      <w:r>
        <w:t xml:space="preserve"> or brush.</w:t>
      </w:r>
      <w:r w:rsidR="00446171">
        <w:t xml:space="preserve"> </w:t>
      </w:r>
      <w:r>
        <w:t>Ensure</w:t>
      </w:r>
      <w:r w:rsidR="00446171">
        <w:t xml:space="preserve"> </w:t>
      </w:r>
      <w:r>
        <w:t>manufacturer's dye (optional) is visible in completed areas.</w:t>
      </w:r>
    </w:p>
    <w:p w14:paraId="65EC98CE" w14:textId="4DDB94CF" w:rsidR="0006347F" w:rsidRDefault="0006347F" w:rsidP="00367ACE">
      <w:pPr>
        <w:ind w:left="1440" w:hanging="720"/>
      </w:pPr>
      <w:r>
        <w:t>4.  Coverage rate will vary between 200-350 sq. ft. per gallon.</w:t>
      </w:r>
    </w:p>
    <w:p w14:paraId="23AA51E1" w14:textId="3BDC51D7" w:rsidR="00367ACE" w:rsidRDefault="00257FE7" w:rsidP="00367ACE">
      <w:pPr>
        <w:ind w:left="720"/>
      </w:pPr>
      <w:r>
        <w:t>3.</w:t>
      </w:r>
      <w:r w:rsidR="00446171">
        <w:t xml:space="preserve"> </w:t>
      </w:r>
      <w:r>
        <w:t>Drying time from 8 to 32 hours depending on temperature and humidity.</w:t>
      </w:r>
    </w:p>
    <w:p w14:paraId="74482572" w14:textId="77777777" w:rsidR="00367ACE" w:rsidRDefault="00367ACE" w:rsidP="00367ACE"/>
    <w:p w14:paraId="27E40612" w14:textId="2516BC72" w:rsidR="00257FE7" w:rsidRPr="00367ACE" w:rsidRDefault="00257FE7" w:rsidP="00367ACE">
      <w:r w:rsidRPr="00367ACE">
        <w:rPr>
          <w:b/>
          <w:bCs/>
        </w:rPr>
        <w:t>3.5</w:t>
      </w:r>
      <w:r w:rsidRPr="00367ACE">
        <w:rPr>
          <w:b/>
          <w:bCs/>
        </w:rPr>
        <w:tab/>
        <w:t>FIELD QUALITY CONTROL</w:t>
      </w:r>
      <w:r w:rsidRPr="00367ACE">
        <w:rPr>
          <w:b/>
          <w:bCs/>
        </w:rPr>
        <w:tab/>
      </w:r>
    </w:p>
    <w:p w14:paraId="71C9B3EE" w14:textId="77777777" w:rsidR="00257FE7" w:rsidRDefault="00257FE7" w:rsidP="00367ACE">
      <w:r>
        <w:t xml:space="preserve"> </w:t>
      </w:r>
      <w:r>
        <w:tab/>
      </w:r>
    </w:p>
    <w:p w14:paraId="6208B808" w14:textId="16BEB1CE" w:rsidR="00257FE7" w:rsidRDefault="00257FE7" w:rsidP="00367ACE">
      <w:pPr>
        <w:ind w:left="720" w:hanging="720"/>
      </w:pPr>
      <w:r>
        <w:t>A.</w:t>
      </w:r>
      <w:r>
        <w:tab/>
        <w:t>Where requested, provide manufacturer's field services consisting of product use recommendations and periodic site visits for inspection of installation in accordance with the manufacturer's instructions.</w:t>
      </w:r>
    </w:p>
    <w:p w14:paraId="0388ED71" w14:textId="2CB7E0BD" w:rsidR="00257FE7" w:rsidRDefault="00257FE7" w:rsidP="00367ACE"/>
    <w:p w14:paraId="3709B60F" w14:textId="0DFACE9D" w:rsidR="00257FE7" w:rsidRDefault="00257FE7" w:rsidP="00367ACE">
      <w:pPr>
        <w:ind w:left="720" w:hanging="720"/>
      </w:pPr>
      <w:r>
        <w:t>B.</w:t>
      </w:r>
      <w:r>
        <w:tab/>
        <w:t>Where field-testing is required, observe and test in accordance with the manufacturer's instructions utilizing an independent testing agency acceptable to the local building authority, if required.</w:t>
      </w:r>
    </w:p>
    <w:p w14:paraId="0A9A2529" w14:textId="77777777" w:rsidR="00257FE7" w:rsidRDefault="00257FE7" w:rsidP="00257FE7">
      <w:r>
        <w:t xml:space="preserve"> </w:t>
      </w:r>
      <w:r>
        <w:tab/>
      </w:r>
    </w:p>
    <w:p w14:paraId="569042DA" w14:textId="1A465297" w:rsidR="00257FE7" w:rsidRPr="00446171" w:rsidRDefault="00257FE7" w:rsidP="00446171">
      <w:pPr>
        <w:rPr>
          <w:b/>
          <w:bCs/>
        </w:rPr>
      </w:pPr>
      <w:r w:rsidRPr="00446171">
        <w:rPr>
          <w:b/>
          <w:bCs/>
        </w:rPr>
        <w:t>3.6</w:t>
      </w:r>
      <w:r w:rsidRPr="00446171">
        <w:rPr>
          <w:b/>
          <w:bCs/>
        </w:rPr>
        <w:tab/>
        <w:t>CLEANING</w:t>
      </w:r>
    </w:p>
    <w:p w14:paraId="77617E6F" w14:textId="77777777" w:rsidR="00257FE7" w:rsidRDefault="00257FE7" w:rsidP="00257FE7">
      <w:r>
        <w:t xml:space="preserve"> </w:t>
      </w:r>
      <w:r>
        <w:tab/>
      </w:r>
    </w:p>
    <w:p w14:paraId="723C4EF9" w14:textId="72469098" w:rsidR="00257FE7" w:rsidRDefault="00257FE7" w:rsidP="00446171">
      <w:r>
        <w:t>A.</w:t>
      </w:r>
      <w:r>
        <w:tab/>
        <w:t>Clean in accordance with the manufacturer's instructions, typically soap and water.</w:t>
      </w:r>
    </w:p>
    <w:p w14:paraId="0EAEA0F8" w14:textId="18261C38" w:rsidR="00257FE7" w:rsidRDefault="00257FE7" w:rsidP="00446171"/>
    <w:p w14:paraId="5C61FCF8" w14:textId="1239058C" w:rsidR="00257FE7" w:rsidRDefault="00257FE7" w:rsidP="00446171">
      <w:r>
        <w:t>B.</w:t>
      </w:r>
      <w:r>
        <w:tab/>
        <w:t>Immediately remove fire retardant materials from other surfaces immediately after application.</w:t>
      </w:r>
    </w:p>
    <w:p w14:paraId="36329CBF" w14:textId="30968794" w:rsidR="00257FE7" w:rsidRDefault="00257FE7" w:rsidP="00446171"/>
    <w:p w14:paraId="4EB41F61" w14:textId="296C855F" w:rsidR="00257FE7" w:rsidRDefault="00257FE7" w:rsidP="00446171">
      <w:pPr>
        <w:ind w:left="720" w:hanging="720"/>
      </w:pPr>
      <w:r>
        <w:t>C.</w:t>
      </w:r>
      <w:r>
        <w:tab/>
        <w:t>Remove all debris from the project site in accordance with the Owner's construction waste management requirements.</w:t>
      </w:r>
    </w:p>
    <w:p w14:paraId="6F24BDD4" w14:textId="43455E96" w:rsidR="00257FE7" w:rsidRDefault="00257FE7" w:rsidP="00446171"/>
    <w:p w14:paraId="6F9355F0" w14:textId="71A3F749" w:rsidR="00257FE7" w:rsidRPr="00575F2C" w:rsidRDefault="00257FE7" w:rsidP="00575F2C">
      <w:pPr>
        <w:rPr>
          <w:b/>
          <w:bCs/>
        </w:rPr>
      </w:pPr>
      <w:r w:rsidRPr="00575F2C">
        <w:rPr>
          <w:b/>
          <w:bCs/>
        </w:rPr>
        <w:t>3.7</w:t>
      </w:r>
      <w:r w:rsidRPr="00575F2C">
        <w:rPr>
          <w:b/>
          <w:bCs/>
        </w:rPr>
        <w:tab/>
        <w:t>PROTECTION</w:t>
      </w:r>
    </w:p>
    <w:p w14:paraId="0254D5FF" w14:textId="3A529AB7" w:rsidR="00257FE7" w:rsidRDefault="00257FE7" w:rsidP="00575F2C"/>
    <w:p w14:paraId="0BA24A38" w14:textId="1D1C10F3" w:rsidR="00257FE7" w:rsidRDefault="00257FE7" w:rsidP="00575F2C">
      <w:r>
        <w:t>A.</w:t>
      </w:r>
      <w:r>
        <w:tab/>
        <w:t>Protect from dirt, damage, and cutting caused by subsequent construction activities.</w:t>
      </w:r>
    </w:p>
    <w:p w14:paraId="6C05EAC2" w14:textId="58C3002F" w:rsidR="00257FE7" w:rsidRDefault="00257FE7" w:rsidP="00575F2C"/>
    <w:p w14:paraId="3A0C0FF3" w14:textId="10117784" w:rsidR="00257FE7" w:rsidRPr="00575F2C" w:rsidRDefault="00257FE7" w:rsidP="00575F2C">
      <w:pPr>
        <w:rPr>
          <w:b/>
          <w:bCs/>
        </w:rPr>
      </w:pPr>
      <w:r w:rsidRPr="00575F2C">
        <w:rPr>
          <w:b/>
          <w:bCs/>
        </w:rPr>
        <w:t>3.8</w:t>
      </w:r>
      <w:r w:rsidRPr="00575F2C">
        <w:rPr>
          <w:b/>
          <w:bCs/>
        </w:rPr>
        <w:tab/>
        <w:t>MAINTENANCE</w:t>
      </w:r>
    </w:p>
    <w:p w14:paraId="7BCCB52A" w14:textId="0922BA41" w:rsidR="00257FE7" w:rsidRDefault="00257FE7" w:rsidP="00575F2C"/>
    <w:p w14:paraId="7A8BCA9B" w14:textId="5CDE17AA" w:rsidR="00062E52" w:rsidRPr="002A0B67" w:rsidRDefault="00257FE7" w:rsidP="00575F2C">
      <w:r>
        <w:t>A.</w:t>
      </w:r>
      <w:r>
        <w:tab/>
        <w:t>Clean and retreat surfaces in accordance with the manufacturer's instructions</w:t>
      </w:r>
      <w:r w:rsidR="003D391B">
        <w:t>.</w:t>
      </w:r>
    </w:p>
    <w:sectPr w:rsidR="00062E52" w:rsidRPr="002A0B67" w:rsidSect="00022E25">
      <w:headerReference w:type="default" r:id="rId9"/>
      <w:footerReference w:type="even" r:id="rId10"/>
      <w:footerReference w:type="default" r:id="rId11"/>
      <w:pgSz w:w="12240" w:h="15840"/>
      <w:pgMar w:top="21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1AD37" w14:textId="77777777" w:rsidR="00DE39F9" w:rsidRDefault="00DE39F9" w:rsidP="00924FB9">
      <w:r>
        <w:separator/>
      </w:r>
    </w:p>
  </w:endnote>
  <w:endnote w:type="continuationSeparator" w:id="0">
    <w:p w14:paraId="157AC9BE" w14:textId="77777777" w:rsidR="00DE39F9" w:rsidRDefault="00DE39F9" w:rsidP="0092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DIN Alternate Bold">
    <w:altName w:val="Calibri"/>
    <w:charset w:val="4D"/>
    <w:family w:val="swiss"/>
    <w:pitch w:val="variable"/>
    <w:sig w:usb0="8000002F" w:usb1="10000048" w:usb2="00000000" w:usb3="00000000" w:csb0="00000111" w:csb1="00000000"/>
  </w:font>
  <w:font w:name="DIN-Regular">
    <w:panose1 w:val="02000503040000020003"/>
    <w:charset w:val="00"/>
    <w:family w:val="auto"/>
    <w:pitch w:val="variable"/>
    <w:sig w:usb0="800000AF" w:usb1="40002048" w:usb2="00000000" w:usb3="00000000" w:csb0="00000111" w:csb1="00000000"/>
  </w:font>
  <w:font w:name="DIN-Medium">
    <w:charset w:val="00"/>
    <w:family w:val="auto"/>
    <w:pitch w:val="variable"/>
    <w:sig w:usb0="800000AF" w:usb1="40002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78650" w14:textId="77777777" w:rsidR="00022E25" w:rsidRDefault="00022E25" w:rsidP="00022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87E3C" w14:textId="77777777" w:rsidR="00022E25" w:rsidRDefault="00022E25" w:rsidP="00022E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A0FA" w14:textId="77777777" w:rsidR="00022E25" w:rsidRPr="00D67518" w:rsidRDefault="00D67518" w:rsidP="00D67518">
    <w:pPr>
      <w:pStyle w:val="Footer"/>
      <w:tabs>
        <w:tab w:val="clear" w:pos="4320"/>
        <w:tab w:val="clear" w:pos="8640"/>
      </w:tabs>
      <w:jc w:val="right"/>
      <w:rPr>
        <w:rFonts w:ascii="DIN Alternate Bold" w:hAnsi="DIN Alternate Bold" w:cs="Times New Roman"/>
        <w:sz w:val="20"/>
        <w:szCs w:val="20"/>
      </w:rPr>
    </w:pPr>
    <w:r w:rsidRPr="00D67518">
      <w:rPr>
        <w:rStyle w:val="PageNumber"/>
        <w:rFonts w:ascii="DIN Alternate Bold" w:hAnsi="DIN Alternate Bold" w:cs="Times New Roman"/>
        <w:sz w:val="20"/>
        <w:szCs w:val="20"/>
      </w:rPr>
      <w:t xml:space="preserve">Page </w:t>
    </w:r>
    <w:r w:rsidRPr="00D67518">
      <w:rPr>
        <w:rStyle w:val="PageNumber"/>
        <w:rFonts w:ascii="DIN Alternate Bold" w:hAnsi="DIN Alternate Bold" w:cs="Times New Roman"/>
        <w:sz w:val="20"/>
        <w:szCs w:val="20"/>
      </w:rPr>
      <w:fldChar w:fldCharType="begin"/>
    </w:r>
    <w:r w:rsidRPr="00D67518">
      <w:rPr>
        <w:rStyle w:val="PageNumber"/>
        <w:rFonts w:ascii="DIN Alternate Bold" w:hAnsi="DIN Alternate Bold" w:cs="Times New Roman"/>
        <w:sz w:val="20"/>
        <w:szCs w:val="20"/>
      </w:rPr>
      <w:instrText xml:space="preserve"> PAGE </w:instrText>
    </w:r>
    <w:r w:rsidRPr="00D67518">
      <w:rPr>
        <w:rStyle w:val="PageNumber"/>
        <w:rFonts w:ascii="DIN Alternate Bold" w:hAnsi="DIN Alternate Bold" w:cs="Times New Roman"/>
        <w:sz w:val="20"/>
        <w:szCs w:val="20"/>
      </w:rPr>
      <w:fldChar w:fldCharType="separate"/>
    </w:r>
    <w:r w:rsidR="00B67A3B">
      <w:rPr>
        <w:rStyle w:val="PageNumber"/>
        <w:rFonts w:ascii="DIN Alternate Bold" w:hAnsi="DIN Alternate Bold" w:cs="Times New Roman"/>
        <w:noProof/>
        <w:sz w:val="20"/>
        <w:szCs w:val="20"/>
      </w:rPr>
      <w:t>1</w:t>
    </w:r>
    <w:r w:rsidRPr="00D67518">
      <w:rPr>
        <w:rStyle w:val="PageNumber"/>
        <w:rFonts w:ascii="DIN Alternate Bold" w:hAnsi="DIN Alternate Bold" w:cs="Times New Roman"/>
        <w:sz w:val="20"/>
        <w:szCs w:val="20"/>
      </w:rPr>
      <w:fldChar w:fldCharType="end"/>
    </w:r>
    <w:r w:rsidRPr="00D67518">
      <w:rPr>
        <w:rStyle w:val="PageNumber"/>
        <w:rFonts w:ascii="DIN Alternate Bold" w:hAnsi="DIN Alternate Bold" w:cs="Times New Roman"/>
        <w:sz w:val="20"/>
        <w:szCs w:val="20"/>
      </w:rPr>
      <w:t xml:space="preserve"> of </w:t>
    </w:r>
    <w:r w:rsidRPr="00D67518">
      <w:rPr>
        <w:rStyle w:val="PageNumber"/>
        <w:rFonts w:ascii="DIN Alternate Bold" w:hAnsi="DIN Alternate Bold" w:cs="Times New Roman"/>
        <w:sz w:val="20"/>
        <w:szCs w:val="20"/>
      </w:rPr>
      <w:fldChar w:fldCharType="begin"/>
    </w:r>
    <w:r w:rsidRPr="00D67518">
      <w:rPr>
        <w:rStyle w:val="PageNumber"/>
        <w:rFonts w:ascii="DIN Alternate Bold" w:hAnsi="DIN Alternate Bold" w:cs="Times New Roman"/>
        <w:sz w:val="20"/>
        <w:szCs w:val="20"/>
      </w:rPr>
      <w:instrText xml:space="preserve"> NUMPAGES </w:instrText>
    </w:r>
    <w:r w:rsidRPr="00D67518">
      <w:rPr>
        <w:rStyle w:val="PageNumber"/>
        <w:rFonts w:ascii="DIN Alternate Bold" w:hAnsi="DIN Alternate Bold" w:cs="Times New Roman"/>
        <w:sz w:val="20"/>
        <w:szCs w:val="20"/>
      </w:rPr>
      <w:fldChar w:fldCharType="separate"/>
    </w:r>
    <w:r w:rsidR="00B67A3B">
      <w:rPr>
        <w:rStyle w:val="PageNumber"/>
        <w:rFonts w:ascii="DIN Alternate Bold" w:hAnsi="DIN Alternate Bold" w:cs="Times New Roman"/>
        <w:noProof/>
        <w:sz w:val="20"/>
        <w:szCs w:val="20"/>
      </w:rPr>
      <w:t>1</w:t>
    </w:r>
    <w:r w:rsidRPr="00D67518">
      <w:rPr>
        <w:rStyle w:val="PageNumber"/>
        <w:rFonts w:ascii="DIN Alternate Bold" w:hAnsi="DIN Alternate Bold"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F364B" w14:textId="77777777" w:rsidR="00DE39F9" w:rsidRDefault="00DE39F9" w:rsidP="00924FB9">
      <w:r>
        <w:separator/>
      </w:r>
    </w:p>
  </w:footnote>
  <w:footnote w:type="continuationSeparator" w:id="0">
    <w:p w14:paraId="555FB95C" w14:textId="77777777" w:rsidR="00DE39F9" w:rsidRDefault="00DE39F9" w:rsidP="00924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E34C" w14:textId="77777777" w:rsidR="00022E25" w:rsidRPr="00571DD8" w:rsidRDefault="00022E25" w:rsidP="00022E25">
    <w:pPr>
      <w:pStyle w:val="NoParagraphStyle"/>
      <w:tabs>
        <w:tab w:val="left" w:pos="5760"/>
        <w:tab w:val="right" w:pos="10800"/>
      </w:tabs>
      <w:spacing w:line="240" w:lineRule="auto"/>
      <w:ind w:left="2160"/>
      <w:rPr>
        <w:rFonts w:ascii="DIN Alternate Bold" w:hAnsi="DIN Alternate Bold" w:cs="DIN-Regular"/>
        <w:spacing w:val="-5"/>
        <w:sz w:val="20"/>
        <w:szCs w:val="20"/>
      </w:rPr>
    </w:pPr>
    <w:r>
      <w:rPr>
        <w:rFonts w:ascii="DIN Alternate Bold" w:hAnsi="DIN Alternate Bold" w:cs="DIN-Medium"/>
        <w:caps/>
        <w:noProof/>
        <w:color w:val="72B3E2"/>
        <w:spacing w:val="-6"/>
      </w:rPr>
      <w:drawing>
        <wp:anchor distT="0" distB="0" distL="114300" distR="114300" simplePos="0" relativeHeight="251658240" behindDoc="0" locked="0" layoutInCell="1" allowOverlap="1" wp14:anchorId="02CD6031" wp14:editId="1BEFE510">
          <wp:simplePos x="0" y="0"/>
          <wp:positionH relativeFrom="column">
            <wp:posOffset>0</wp:posOffset>
          </wp:positionH>
          <wp:positionV relativeFrom="paragraph">
            <wp:posOffset>0</wp:posOffset>
          </wp:positionV>
          <wp:extent cx="1274445" cy="457200"/>
          <wp:effectExtent l="0" t="0" r="0" b="0"/>
          <wp:wrapNone/>
          <wp:docPr id="10" name="Picture 10" descr="Macintosh HD:Users:mrchinhnguyen:Desktop:FSP_logo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rchinhnguyen:Desktop:FSP_logo_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457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571DD8">
      <w:rPr>
        <w:rFonts w:ascii="DIN Alternate Bold" w:hAnsi="DIN Alternate Bold" w:cs="DIN-Medium"/>
        <w:caps/>
        <w:color w:val="72B3E2"/>
        <w:spacing w:val="-6"/>
      </w:rPr>
      <w:t>Flame Seal Products, Inc.</w:t>
    </w:r>
    <w:r>
      <w:rPr>
        <w:rFonts w:ascii="DIN Alternate Bold" w:hAnsi="DIN Alternate Bold" w:cs="DIN-Medium"/>
        <w:caps/>
        <w:color w:val="72B3E2"/>
        <w:spacing w:val="-6"/>
        <w:sz w:val="20"/>
        <w:szCs w:val="20"/>
      </w:rPr>
      <w:tab/>
    </w:r>
    <w:r>
      <w:rPr>
        <w:rFonts w:ascii="DIN Alternate Bold" w:hAnsi="DIN Alternate Bold" w:cs="DIN-Medium"/>
        <w:caps/>
        <w:color w:val="72B3E2"/>
        <w:spacing w:val="-6"/>
        <w:sz w:val="20"/>
        <w:szCs w:val="20"/>
      </w:rPr>
      <w:tab/>
    </w:r>
    <w:r w:rsidRPr="00571DD8">
      <w:rPr>
        <w:rFonts w:ascii="DIN Alternate Bold" w:hAnsi="DIN Alternate Bold" w:cs="DIN-Medium"/>
        <w:color w:val="72B3E2"/>
        <w:spacing w:val="-6"/>
        <w:sz w:val="20"/>
        <w:szCs w:val="20"/>
      </w:rPr>
      <w:t>www.flameseal.com</w:t>
    </w:r>
  </w:p>
  <w:p w14:paraId="6EA59E6B" w14:textId="77777777" w:rsidR="00022E25" w:rsidRPr="00571DD8" w:rsidRDefault="00022E25" w:rsidP="00022E25">
    <w:pPr>
      <w:pStyle w:val="NoParagraphStyle"/>
      <w:tabs>
        <w:tab w:val="left" w:pos="5760"/>
        <w:tab w:val="right" w:pos="10800"/>
      </w:tabs>
      <w:spacing w:line="240" w:lineRule="auto"/>
      <w:ind w:left="2160"/>
      <w:rPr>
        <w:rFonts w:ascii="DIN Alternate Bold" w:hAnsi="DIN Alternate Bold" w:cs="DIN-Regular"/>
        <w:spacing w:val="-5"/>
        <w:sz w:val="20"/>
        <w:szCs w:val="20"/>
      </w:rPr>
    </w:pPr>
    <w:r w:rsidRPr="00571DD8">
      <w:rPr>
        <w:rFonts w:ascii="DIN Alternate Bold" w:hAnsi="DIN Alternate Bold" w:cs="DIN-Regular"/>
        <w:spacing w:val="-5"/>
        <w:sz w:val="20"/>
        <w:szCs w:val="20"/>
      </w:rPr>
      <w:t>15200 West Drive</w:t>
    </w:r>
    <w:r>
      <w:rPr>
        <w:rFonts w:ascii="DIN Alternate Bold" w:hAnsi="DIN Alternate Bold" w:cs="DIN-Regular"/>
        <w:spacing w:val="-5"/>
        <w:sz w:val="20"/>
        <w:szCs w:val="20"/>
      </w:rPr>
      <w:tab/>
    </w:r>
    <w:r w:rsidR="006C08E4">
      <w:rPr>
        <w:rFonts w:ascii="DIN Alternate Bold" w:hAnsi="DIN Alternate Bold" w:cs="DIN-Regular"/>
        <w:spacing w:val="-5"/>
        <w:sz w:val="20"/>
        <w:szCs w:val="20"/>
      </w:rPr>
      <w:tab/>
    </w:r>
    <w:r w:rsidRPr="00571DD8">
      <w:rPr>
        <w:rFonts w:ascii="DIN Alternate Bold" w:hAnsi="DIN Alternate Bold" w:cs="DIN-Regular"/>
        <w:spacing w:val="-5"/>
        <w:sz w:val="20"/>
        <w:szCs w:val="20"/>
      </w:rPr>
      <w:t>713-668-4291 (office)</w:t>
    </w:r>
    <w:r w:rsidRPr="00571DD8">
      <w:rPr>
        <w:rFonts w:ascii="DIN Alternate Bold" w:hAnsi="DIN Alternate Bold" w:cs="DIN-Regular"/>
        <w:spacing w:val="-5"/>
        <w:sz w:val="20"/>
        <w:szCs w:val="20"/>
      </w:rPr>
      <w:br/>
      <w:t>Houston, TX 77053 USA</w:t>
    </w:r>
    <w:r>
      <w:rPr>
        <w:rFonts w:ascii="DIN Alternate Bold" w:hAnsi="DIN Alternate Bold" w:cs="DIN-Regular"/>
        <w:spacing w:val="-5"/>
        <w:sz w:val="20"/>
        <w:szCs w:val="20"/>
      </w:rPr>
      <w:tab/>
    </w:r>
    <w:r w:rsidR="006C08E4">
      <w:rPr>
        <w:rFonts w:ascii="DIN Alternate Bold" w:hAnsi="DIN Alternate Bold" w:cs="DIN-Regular"/>
        <w:spacing w:val="-5"/>
        <w:sz w:val="20"/>
        <w:szCs w:val="20"/>
      </w:rPr>
      <w:tab/>
    </w:r>
    <w:r>
      <w:rPr>
        <w:rFonts w:ascii="DIN Alternate Bold" w:hAnsi="DIN Alternate Bold" w:cs="DIN-Regular"/>
        <w:spacing w:val="-5"/>
        <w:sz w:val="20"/>
        <w:szCs w:val="20"/>
      </w:rPr>
      <w:t>713-668-1724 (fax)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908839A"/>
    <w:lvl w:ilvl="0" w:tplc="261E9B84">
      <w:start w:val="1"/>
      <w:numFmt w:val="decimal"/>
      <w:lvlText w:val="%1."/>
      <w:lvlJc w:val="left"/>
      <w:pPr>
        <w:ind w:left="720" w:hanging="360"/>
      </w:pPr>
      <w:rPr>
        <w:rFonts w:ascii="Roboto-Regular" w:eastAsiaTheme="minorHAnsi" w:hAnsi="Roboto-Regular" w:cs="Roboto-Regular"/>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C2855"/>
    <w:multiLevelType w:val="hybridMultilevel"/>
    <w:tmpl w:val="FBCA3A48"/>
    <w:lvl w:ilvl="0" w:tplc="076054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4021"/>
    <w:multiLevelType w:val="hybridMultilevel"/>
    <w:tmpl w:val="33DCD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C5153"/>
    <w:multiLevelType w:val="multilevel"/>
    <w:tmpl w:val="54500E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CA3729"/>
    <w:multiLevelType w:val="hybridMultilevel"/>
    <w:tmpl w:val="C204A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D29D3"/>
    <w:multiLevelType w:val="multilevel"/>
    <w:tmpl w:val="9D38D8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EC36D3"/>
    <w:multiLevelType w:val="hybridMultilevel"/>
    <w:tmpl w:val="EB64ED14"/>
    <w:lvl w:ilvl="0" w:tplc="B62C5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4E6F19"/>
    <w:multiLevelType w:val="hybridMultilevel"/>
    <w:tmpl w:val="62CA4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F6E01"/>
    <w:multiLevelType w:val="hybridMultilevel"/>
    <w:tmpl w:val="3E0E306E"/>
    <w:lvl w:ilvl="0" w:tplc="ACD2756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BB50E2"/>
    <w:multiLevelType w:val="multilevel"/>
    <w:tmpl w:val="872E61A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8C2FE5"/>
    <w:multiLevelType w:val="hybridMultilevel"/>
    <w:tmpl w:val="5E4605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126AC0"/>
    <w:multiLevelType w:val="hybridMultilevel"/>
    <w:tmpl w:val="708C0420"/>
    <w:lvl w:ilvl="0" w:tplc="6BBEC830">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CF4A17"/>
    <w:multiLevelType w:val="hybridMultilevel"/>
    <w:tmpl w:val="2F9E075E"/>
    <w:lvl w:ilvl="0" w:tplc="076054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D02C4"/>
    <w:multiLevelType w:val="hybridMultilevel"/>
    <w:tmpl w:val="2DFEC55C"/>
    <w:lvl w:ilvl="0" w:tplc="68D4E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F3563F"/>
    <w:multiLevelType w:val="hybridMultilevel"/>
    <w:tmpl w:val="63FEA01A"/>
    <w:lvl w:ilvl="0" w:tplc="10BAF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E266E2"/>
    <w:multiLevelType w:val="hybridMultilevel"/>
    <w:tmpl w:val="9148F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C0E61"/>
    <w:multiLevelType w:val="hybridMultilevel"/>
    <w:tmpl w:val="D7E4E5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E46B2D"/>
    <w:multiLevelType w:val="hybridMultilevel"/>
    <w:tmpl w:val="0E8EDC00"/>
    <w:lvl w:ilvl="0" w:tplc="6674CD90">
      <w:start w:val="1"/>
      <w:numFmt w:val="decimal"/>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8E90552"/>
    <w:multiLevelType w:val="hybridMultilevel"/>
    <w:tmpl w:val="72E2A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35A30"/>
    <w:multiLevelType w:val="multilevel"/>
    <w:tmpl w:val="419C557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F4B657D"/>
    <w:multiLevelType w:val="multilevel"/>
    <w:tmpl w:val="58B8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393318"/>
    <w:multiLevelType w:val="hybridMultilevel"/>
    <w:tmpl w:val="C6903E44"/>
    <w:lvl w:ilvl="0" w:tplc="7D443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6B1388"/>
    <w:multiLevelType w:val="hybridMultilevel"/>
    <w:tmpl w:val="F750763C"/>
    <w:lvl w:ilvl="0" w:tplc="076054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C1173"/>
    <w:multiLevelType w:val="hybridMultilevel"/>
    <w:tmpl w:val="1F5C6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E2DDF"/>
    <w:multiLevelType w:val="hybridMultilevel"/>
    <w:tmpl w:val="13EC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06DFE"/>
    <w:multiLevelType w:val="hybridMultilevel"/>
    <w:tmpl w:val="FDC89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C6E84"/>
    <w:multiLevelType w:val="hybridMultilevel"/>
    <w:tmpl w:val="418C0C6C"/>
    <w:lvl w:ilvl="0" w:tplc="7BA6F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783BC3"/>
    <w:multiLevelType w:val="hybridMultilevel"/>
    <w:tmpl w:val="9502DFA4"/>
    <w:lvl w:ilvl="0" w:tplc="2B1C2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6B24C0"/>
    <w:multiLevelType w:val="hybridMultilevel"/>
    <w:tmpl w:val="C2526FC0"/>
    <w:lvl w:ilvl="0" w:tplc="81088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341DDA"/>
    <w:multiLevelType w:val="hybridMultilevel"/>
    <w:tmpl w:val="F8DA5D32"/>
    <w:lvl w:ilvl="0" w:tplc="30C8F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E8301D"/>
    <w:multiLevelType w:val="hybridMultilevel"/>
    <w:tmpl w:val="1994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451EAF"/>
    <w:multiLevelType w:val="hybridMultilevel"/>
    <w:tmpl w:val="0C00DE38"/>
    <w:lvl w:ilvl="0" w:tplc="2EF6F83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3AA1F9A"/>
    <w:multiLevelType w:val="hybridMultilevel"/>
    <w:tmpl w:val="C9764FA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B32C9"/>
    <w:multiLevelType w:val="hybridMultilevel"/>
    <w:tmpl w:val="2CF890FA"/>
    <w:lvl w:ilvl="0" w:tplc="076054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2"/>
  </w:num>
  <w:num w:numId="4">
    <w:abstractNumId w:val="33"/>
  </w:num>
  <w:num w:numId="5">
    <w:abstractNumId w:val="18"/>
  </w:num>
  <w:num w:numId="6">
    <w:abstractNumId w:val="24"/>
  </w:num>
  <w:num w:numId="7">
    <w:abstractNumId w:val="0"/>
  </w:num>
  <w:num w:numId="8">
    <w:abstractNumId w:val="14"/>
  </w:num>
  <w:num w:numId="9">
    <w:abstractNumId w:val="21"/>
  </w:num>
  <w:num w:numId="10">
    <w:abstractNumId w:val="27"/>
  </w:num>
  <w:num w:numId="11">
    <w:abstractNumId w:val="17"/>
  </w:num>
  <w:num w:numId="12">
    <w:abstractNumId w:val="4"/>
  </w:num>
  <w:num w:numId="13">
    <w:abstractNumId w:val="26"/>
  </w:num>
  <w:num w:numId="14">
    <w:abstractNumId w:val="29"/>
  </w:num>
  <w:num w:numId="15">
    <w:abstractNumId w:val="13"/>
  </w:num>
  <w:num w:numId="16">
    <w:abstractNumId w:val="25"/>
  </w:num>
  <w:num w:numId="17">
    <w:abstractNumId w:val="28"/>
  </w:num>
  <w:num w:numId="18">
    <w:abstractNumId w:val="31"/>
  </w:num>
  <w:num w:numId="19">
    <w:abstractNumId w:val="8"/>
  </w:num>
  <w:num w:numId="20">
    <w:abstractNumId w:val="32"/>
  </w:num>
  <w:num w:numId="21">
    <w:abstractNumId w:val="10"/>
  </w:num>
  <w:num w:numId="22">
    <w:abstractNumId w:val="30"/>
  </w:num>
  <w:num w:numId="23">
    <w:abstractNumId w:val="6"/>
  </w:num>
  <w:num w:numId="24">
    <w:abstractNumId w:val="5"/>
  </w:num>
  <w:num w:numId="25">
    <w:abstractNumId w:val="23"/>
  </w:num>
  <w:num w:numId="26">
    <w:abstractNumId w:val="19"/>
  </w:num>
  <w:num w:numId="27">
    <w:abstractNumId w:val="3"/>
  </w:num>
  <w:num w:numId="28">
    <w:abstractNumId w:val="2"/>
  </w:num>
  <w:num w:numId="29">
    <w:abstractNumId w:val="9"/>
  </w:num>
  <w:num w:numId="30">
    <w:abstractNumId w:val="15"/>
  </w:num>
  <w:num w:numId="31">
    <w:abstractNumId w:val="20"/>
  </w:num>
  <w:num w:numId="32">
    <w:abstractNumId w:val="7"/>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E7"/>
    <w:rsid w:val="00017AF9"/>
    <w:rsid w:val="00022E25"/>
    <w:rsid w:val="0005651E"/>
    <w:rsid w:val="00062E52"/>
    <w:rsid w:val="0006347F"/>
    <w:rsid w:val="000961BD"/>
    <w:rsid w:val="000A1614"/>
    <w:rsid w:val="000B3A6D"/>
    <w:rsid w:val="000C105E"/>
    <w:rsid w:val="000E4F90"/>
    <w:rsid w:val="00105430"/>
    <w:rsid w:val="00123C90"/>
    <w:rsid w:val="00142A44"/>
    <w:rsid w:val="00151BC7"/>
    <w:rsid w:val="001619FD"/>
    <w:rsid w:val="00181E80"/>
    <w:rsid w:val="00185A4F"/>
    <w:rsid w:val="001964CC"/>
    <w:rsid w:val="001B2123"/>
    <w:rsid w:val="001D4376"/>
    <w:rsid w:val="001F6A48"/>
    <w:rsid w:val="002039C0"/>
    <w:rsid w:val="002051E4"/>
    <w:rsid w:val="00257FE7"/>
    <w:rsid w:val="00266525"/>
    <w:rsid w:val="002869F0"/>
    <w:rsid w:val="002A0B67"/>
    <w:rsid w:val="002B553A"/>
    <w:rsid w:val="002E0776"/>
    <w:rsid w:val="00315803"/>
    <w:rsid w:val="0032647C"/>
    <w:rsid w:val="00367ACE"/>
    <w:rsid w:val="003D391B"/>
    <w:rsid w:val="00446171"/>
    <w:rsid w:val="00497EA7"/>
    <w:rsid w:val="004A524A"/>
    <w:rsid w:val="004B626C"/>
    <w:rsid w:val="004E6D7C"/>
    <w:rsid w:val="00511E7B"/>
    <w:rsid w:val="00571DD8"/>
    <w:rsid w:val="00575F2C"/>
    <w:rsid w:val="005A5E69"/>
    <w:rsid w:val="005B56DE"/>
    <w:rsid w:val="005E21D4"/>
    <w:rsid w:val="006025F1"/>
    <w:rsid w:val="00602BBB"/>
    <w:rsid w:val="00604283"/>
    <w:rsid w:val="00626278"/>
    <w:rsid w:val="006509E5"/>
    <w:rsid w:val="00685992"/>
    <w:rsid w:val="006B0B75"/>
    <w:rsid w:val="006B4375"/>
    <w:rsid w:val="006C08E4"/>
    <w:rsid w:val="006D4795"/>
    <w:rsid w:val="006E69A9"/>
    <w:rsid w:val="006F61B6"/>
    <w:rsid w:val="007536A6"/>
    <w:rsid w:val="007D0A1A"/>
    <w:rsid w:val="00842442"/>
    <w:rsid w:val="00842E74"/>
    <w:rsid w:val="0087683F"/>
    <w:rsid w:val="008A5C0E"/>
    <w:rsid w:val="008C7269"/>
    <w:rsid w:val="00924FB9"/>
    <w:rsid w:val="00932443"/>
    <w:rsid w:val="00945A3E"/>
    <w:rsid w:val="00965F85"/>
    <w:rsid w:val="0097785A"/>
    <w:rsid w:val="009A3A5D"/>
    <w:rsid w:val="00A13AB7"/>
    <w:rsid w:val="00A35C99"/>
    <w:rsid w:val="00AC3F6E"/>
    <w:rsid w:val="00AD4E83"/>
    <w:rsid w:val="00AE0559"/>
    <w:rsid w:val="00B63354"/>
    <w:rsid w:val="00B67A3B"/>
    <w:rsid w:val="00B740E9"/>
    <w:rsid w:val="00B84451"/>
    <w:rsid w:val="00B8782B"/>
    <w:rsid w:val="00BB376A"/>
    <w:rsid w:val="00BC7579"/>
    <w:rsid w:val="00BD2591"/>
    <w:rsid w:val="00C144C2"/>
    <w:rsid w:val="00C33D44"/>
    <w:rsid w:val="00C639B7"/>
    <w:rsid w:val="00C64C36"/>
    <w:rsid w:val="00C6585A"/>
    <w:rsid w:val="00CC0562"/>
    <w:rsid w:val="00CE6821"/>
    <w:rsid w:val="00D05168"/>
    <w:rsid w:val="00D077B0"/>
    <w:rsid w:val="00D10A9F"/>
    <w:rsid w:val="00D15B2A"/>
    <w:rsid w:val="00D47550"/>
    <w:rsid w:val="00D61B58"/>
    <w:rsid w:val="00D67518"/>
    <w:rsid w:val="00D87E5C"/>
    <w:rsid w:val="00D93C5E"/>
    <w:rsid w:val="00D97932"/>
    <w:rsid w:val="00DB0A89"/>
    <w:rsid w:val="00DE39F9"/>
    <w:rsid w:val="00DF7A99"/>
    <w:rsid w:val="00E11B18"/>
    <w:rsid w:val="00E66AFB"/>
    <w:rsid w:val="00E70DDD"/>
    <w:rsid w:val="00EB3C9B"/>
    <w:rsid w:val="00F02A92"/>
    <w:rsid w:val="00F070E1"/>
    <w:rsid w:val="00F15512"/>
    <w:rsid w:val="00F669EF"/>
    <w:rsid w:val="00F711FB"/>
    <w:rsid w:val="00F91FA5"/>
    <w:rsid w:val="00FB4160"/>
    <w:rsid w:val="00FC0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582D8"/>
  <w14:defaultImageDpi w14:val="300"/>
  <w15:docId w15:val="{ABFE355D-3429-444D-88AE-FA45FDA1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3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B9"/>
    <w:rPr>
      <w:rFonts w:ascii="Lucida Grande" w:hAnsi="Lucida Grande" w:cs="Lucida Grande"/>
      <w:sz w:val="18"/>
      <w:szCs w:val="18"/>
    </w:rPr>
  </w:style>
  <w:style w:type="paragraph" w:styleId="Header">
    <w:name w:val="header"/>
    <w:basedOn w:val="Normal"/>
    <w:link w:val="HeaderChar"/>
    <w:uiPriority w:val="99"/>
    <w:unhideWhenUsed/>
    <w:rsid w:val="00924FB9"/>
    <w:pPr>
      <w:tabs>
        <w:tab w:val="center" w:pos="4320"/>
        <w:tab w:val="right" w:pos="8640"/>
      </w:tabs>
    </w:pPr>
  </w:style>
  <w:style w:type="character" w:customStyle="1" w:styleId="HeaderChar">
    <w:name w:val="Header Char"/>
    <w:basedOn w:val="DefaultParagraphFont"/>
    <w:link w:val="Header"/>
    <w:uiPriority w:val="99"/>
    <w:rsid w:val="00924FB9"/>
  </w:style>
  <w:style w:type="paragraph" w:styleId="Footer">
    <w:name w:val="footer"/>
    <w:basedOn w:val="Normal"/>
    <w:link w:val="FooterChar"/>
    <w:uiPriority w:val="99"/>
    <w:unhideWhenUsed/>
    <w:rsid w:val="00924FB9"/>
    <w:pPr>
      <w:tabs>
        <w:tab w:val="center" w:pos="4320"/>
        <w:tab w:val="right" w:pos="8640"/>
      </w:tabs>
    </w:pPr>
  </w:style>
  <w:style w:type="character" w:customStyle="1" w:styleId="FooterChar">
    <w:name w:val="Footer Char"/>
    <w:basedOn w:val="DefaultParagraphFont"/>
    <w:link w:val="Footer"/>
    <w:uiPriority w:val="99"/>
    <w:rsid w:val="00924FB9"/>
  </w:style>
  <w:style w:type="paragraph" w:customStyle="1" w:styleId="NoParagraphStyle">
    <w:name w:val="[No Paragraph Style]"/>
    <w:rsid w:val="00924FB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22E25"/>
  </w:style>
  <w:style w:type="paragraph" w:styleId="ListParagraph">
    <w:name w:val="List Paragraph"/>
    <w:basedOn w:val="Normal"/>
    <w:uiPriority w:val="34"/>
    <w:qFormat/>
    <w:rsid w:val="001F6A48"/>
    <w:pPr>
      <w:ind w:left="720"/>
      <w:contextualSpacing/>
    </w:pPr>
  </w:style>
  <w:style w:type="paragraph" w:styleId="NormalWeb">
    <w:name w:val="Normal (Web)"/>
    <w:basedOn w:val="Normal"/>
    <w:uiPriority w:val="99"/>
    <w:semiHidden/>
    <w:unhideWhenUsed/>
    <w:rsid w:val="00842442"/>
    <w:pPr>
      <w:spacing w:before="100" w:beforeAutospacing="1" w:after="100" w:afterAutospacing="1"/>
    </w:pPr>
    <w:rPr>
      <w:rFonts w:ascii="Times New Roman" w:eastAsiaTheme="minorHAnsi" w:hAnsi="Times New Roman" w:cs="Times New Roman"/>
    </w:rPr>
  </w:style>
  <w:style w:type="paragraph" w:styleId="NoSpacing">
    <w:name w:val="No Spacing"/>
    <w:uiPriority w:val="1"/>
    <w:qFormat/>
    <w:rsid w:val="00842442"/>
    <w:rPr>
      <w:rFonts w:eastAsiaTheme="minorHAnsi"/>
    </w:rPr>
  </w:style>
  <w:style w:type="character" w:styleId="Strong">
    <w:name w:val="Strong"/>
    <w:basedOn w:val="DefaultParagraphFont"/>
    <w:uiPriority w:val="22"/>
    <w:qFormat/>
    <w:rsid w:val="00842442"/>
    <w:rPr>
      <w:b/>
      <w:bCs/>
    </w:rPr>
  </w:style>
  <w:style w:type="character" w:styleId="Hyperlink">
    <w:name w:val="Hyperlink"/>
    <w:basedOn w:val="DefaultParagraphFont"/>
    <w:uiPriority w:val="99"/>
    <w:unhideWhenUsed/>
    <w:rsid w:val="00D93C5E"/>
    <w:rPr>
      <w:color w:val="0000FF" w:themeColor="hyperlink"/>
      <w:u w:val="single"/>
    </w:rPr>
  </w:style>
  <w:style w:type="character" w:styleId="UnresolvedMention">
    <w:name w:val="Unresolved Mention"/>
    <w:basedOn w:val="DefaultParagraphFont"/>
    <w:uiPriority w:val="99"/>
    <w:rsid w:val="00D93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mese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ylan@flamese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p\OneDrive\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12</TotalTime>
  <Pages>6</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Nowak</dc:creator>
  <cp:keywords/>
  <dc:description/>
  <cp:lastModifiedBy>Dylan Nowak</cp:lastModifiedBy>
  <cp:revision>5</cp:revision>
  <dcterms:created xsi:type="dcterms:W3CDTF">2020-06-23T14:44:00Z</dcterms:created>
  <dcterms:modified xsi:type="dcterms:W3CDTF">2020-06-23T14:48:00Z</dcterms:modified>
</cp:coreProperties>
</file>